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37CA70E"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544F1">
        <w:rPr>
          <w:bCs/>
          <w:noProof w:val="0"/>
          <w:sz w:val="24"/>
          <w:szCs w:val="24"/>
        </w:rPr>
        <w:t>N WG1 Meeting #92</w:t>
      </w:r>
      <w:r w:rsidR="00850D96">
        <w:rPr>
          <w:bCs/>
          <w:noProof w:val="0"/>
          <w:sz w:val="24"/>
          <w:szCs w:val="24"/>
        </w:rPr>
        <w:t xml:space="preserve"> bis</w:t>
      </w:r>
      <w:r w:rsidR="001348FE">
        <w:rPr>
          <w:bCs/>
          <w:noProof w:val="0"/>
          <w:sz w:val="24"/>
          <w:szCs w:val="24"/>
        </w:rPr>
        <w:tab/>
        <w:t>R1-18</w:t>
      </w:r>
      <w:r w:rsidR="003D28F7">
        <w:rPr>
          <w:bCs/>
          <w:noProof w:val="0"/>
          <w:sz w:val="24"/>
          <w:szCs w:val="24"/>
        </w:rPr>
        <w:t>05143</w:t>
      </w:r>
    </w:p>
    <w:p w14:paraId="30E02940" w14:textId="631B64FD" w:rsidR="00CA26CE" w:rsidRDefault="00850D96" w:rsidP="00CA26CE">
      <w:pPr>
        <w:pStyle w:val="Header"/>
        <w:rPr>
          <w:bCs/>
          <w:noProof w:val="0"/>
          <w:sz w:val="24"/>
          <w:szCs w:val="24"/>
        </w:rPr>
      </w:pPr>
      <w:r w:rsidRPr="00850D96">
        <w:rPr>
          <w:bCs/>
          <w:noProof w:val="0"/>
          <w:sz w:val="24"/>
          <w:szCs w:val="24"/>
        </w:rPr>
        <w:t>Sanya, P.R. China, April 16 – 20, 2018</w:t>
      </w:r>
    </w:p>
    <w:p w14:paraId="2CFE1919" w14:textId="77777777" w:rsidR="00850D96" w:rsidRPr="00850D96" w:rsidRDefault="00850D96" w:rsidP="00CA26CE">
      <w:pPr>
        <w:pStyle w:val="Header"/>
        <w:rPr>
          <w:bCs/>
          <w:noProof w:val="0"/>
          <w:sz w:val="24"/>
          <w:lang w:val="en-GB" w:eastAsia="ja-JP"/>
        </w:rPr>
      </w:pPr>
    </w:p>
    <w:p w14:paraId="30E02941" w14:textId="4C835E51"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w:t>
      </w:r>
      <w:r w:rsidR="007544F1">
        <w:rPr>
          <w:rFonts w:cs="Arial"/>
          <w:b/>
          <w:bCs/>
          <w:sz w:val="24"/>
          <w:szCs w:val="24"/>
        </w:rPr>
        <w:t>1.</w:t>
      </w:r>
      <w:r w:rsidR="00260A24">
        <w:rPr>
          <w:rFonts w:cs="Arial"/>
          <w:b/>
          <w:bCs/>
          <w:sz w:val="24"/>
          <w:szCs w:val="24"/>
        </w:rPr>
        <w:t>5</w:t>
      </w:r>
      <w:bookmarkStart w:id="0" w:name="_GoBack"/>
      <w:bookmarkEnd w:id="0"/>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A31672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D28F7" w:rsidRPr="003D28F7">
        <w:rPr>
          <w:rFonts w:ascii="Arial" w:hAnsi="Arial" w:cs="Arial"/>
          <w:b/>
          <w:bCs/>
          <w:sz w:val="24"/>
        </w:rPr>
        <w:t>Power control for EN-DC option 4</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A0BF35D" w14:textId="2D58E0D0" w:rsidR="00305297" w:rsidRDefault="003D28F7" w:rsidP="00ED1327">
      <w:bookmarkStart w:id="1" w:name="_Hlk510705081"/>
      <w:r>
        <w:t>The RAN March 2018 specifications provide support for EN-DC with architecture option</w:t>
      </w:r>
      <w:r w:rsidR="00FA45A9">
        <w:t xml:space="preserve"> 3. RAN#79 endorsed a plan for finalizing all NR architecture options</w:t>
      </w:r>
      <w:r w:rsidR="00B54F64">
        <w:t xml:space="preserve"> </w:t>
      </w:r>
      <w:r w:rsidR="00B54F64">
        <w:fldChar w:fldCharType="begin"/>
      </w:r>
      <w:r w:rsidR="00B54F64">
        <w:instrText xml:space="preserve"> REF _Ref510791645 \r \h </w:instrText>
      </w:r>
      <w:r w:rsidR="00B54F64">
        <w:fldChar w:fldCharType="separate"/>
      </w:r>
      <w:r w:rsidR="00B54F64">
        <w:t>[1]</w:t>
      </w:r>
      <w:r w:rsidR="00B54F64">
        <w:fldChar w:fldCharType="end"/>
      </w:r>
      <w:r w:rsidR="00B54F64">
        <w:t xml:space="preserve"> with the following guidance to RAN1:</w:t>
      </w:r>
    </w:p>
    <w:p w14:paraId="45B550DF" w14:textId="1B658184" w:rsidR="00B54F64" w:rsidRDefault="00B54F64" w:rsidP="00B54F64">
      <w:pPr>
        <w:ind w:left="568"/>
      </w:pPr>
      <w:r>
        <w:rPr>
          <w:noProof/>
        </w:rPr>
        <mc:AlternateContent>
          <mc:Choice Requires="wps">
            <w:drawing>
              <wp:inline distT="0" distB="0" distL="0" distR="0" wp14:anchorId="5BE68947" wp14:editId="038C5163">
                <wp:extent cx="5076825" cy="1404620"/>
                <wp:effectExtent l="0" t="0" r="2857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1404620"/>
                        </a:xfrm>
                        <a:prstGeom prst="rect">
                          <a:avLst/>
                        </a:prstGeom>
                        <a:solidFill>
                          <a:srgbClr val="FFFFFF"/>
                        </a:solidFill>
                        <a:ln w="9525">
                          <a:solidFill>
                            <a:srgbClr val="000000"/>
                          </a:solidFill>
                          <a:miter lim="800000"/>
                          <a:headEnd/>
                          <a:tailEnd/>
                        </a:ln>
                      </wps:spPr>
                      <wps:txbx>
                        <w:txbxContent>
                          <w:p w14:paraId="3C266194" w14:textId="44EEB894" w:rsidR="00B54F64" w:rsidRDefault="00B54F64" w:rsidP="00B54F64">
                            <w:pPr>
                              <w:spacing w:after="0"/>
                            </w:pPr>
                            <w:r w:rsidRPr="00B54F64">
                              <w:t>NR Option 4 “to do list” – RAN1</w:t>
                            </w:r>
                          </w:p>
                          <w:p w14:paraId="0D372EAC" w14:textId="77777777" w:rsidR="005E29AE" w:rsidRPr="00B54F64" w:rsidRDefault="00DD01F4" w:rsidP="00B54F64">
                            <w:pPr>
                              <w:numPr>
                                <w:ilvl w:val="0"/>
                                <w:numId w:val="13"/>
                              </w:numPr>
                              <w:spacing w:after="0"/>
                              <w:rPr>
                                <w:lang w:val="en-US"/>
                              </w:rPr>
                            </w:pPr>
                            <w:r w:rsidRPr="00B54F64">
                              <w:rPr>
                                <w:lang w:val="en-US"/>
                              </w:rPr>
                              <w:t>Need to evaluate whether new design on power control, multiplexing, etc. is needed for both LTE &amp; NR specs</w:t>
                            </w:r>
                          </w:p>
                          <w:p w14:paraId="19062D91" w14:textId="77777777" w:rsidR="005E29AE" w:rsidRPr="00B54F64" w:rsidRDefault="00DD01F4" w:rsidP="00B54F64">
                            <w:pPr>
                              <w:numPr>
                                <w:ilvl w:val="1"/>
                                <w:numId w:val="13"/>
                              </w:numPr>
                              <w:spacing w:after="0"/>
                              <w:rPr>
                                <w:lang w:val="en-US"/>
                              </w:rPr>
                            </w:pPr>
                            <w:r w:rsidRPr="00B54F64">
                              <w:rPr>
                                <w:lang w:val="en-US"/>
                              </w:rPr>
                              <w:t>Strive for minimum RAN1 specification impact</w:t>
                            </w:r>
                          </w:p>
                          <w:p w14:paraId="152BE274" w14:textId="68B6B6DA" w:rsidR="00B54F64" w:rsidRPr="00B54F64" w:rsidRDefault="00DD01F4" w:rsidP="00B54F64">
                            <w:pPr>
                              <w:numPr>
                                <w:ilvl w:val="1"/>
                                <w:numId w:val="13"/>
                              </w:numPr>
                              <w:spacing w:after="0"/>
                              <w:rPr>
                                <w:lang w:val="en-US"/>
                              </w:rPr>
                            </w:pPr>
                            <w:r w:rsidRPr="00B54F64">
                              <w:rPr>
                                <w:lang w:val="en-US"/>
                              </w:rPr>
                              <w:t>Some (limited) RAN1 meeting time is expected</w:t>
                            </w:r>
                          </w:p>
                        </w:txbxContent>
                      </wps:txbx>
                      <wps:bodyPr rot="0" vert="horz" wrap="square" lIns="91440" tIns="45720" rIns="91440" bIns="45720" anchor="t" anchorCtr="0">
                        <a:spAutoFit/>
                      </wps:bodyPr>
                    </wps:wsp>
                  </a:graphicData>
                </a:graphic>
              </wp:inline>
            </w:drawing>
          </mc:Choice>
          <mc:Fallback>
            <w:pict>
              <v:shapetype w14:anchorId="5BE68947" id="_x0000_t202" coordsize="21600,21600" o:spt="202" path="m,l,21600r21600,l21600,xe">
                <v:stroke joinstyle="miter"/>
                <v:path gradientshapeok="t" o:connecttype="rect"/>
              </v:shapetype>
              <v:shape id="Text Box 2" o:spid="_x0000_s1026" type="#_x0000_t202" style="width:39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">
                <v:textbox style="mso-fit-shape-to-text:t">
                  <w:txbxContent>
                    <w:p w14:paraId="3C266194" w14:textId="44EEB894" w:rsidR="00B54F64" w:rsidRDefault="00B54F64" w:rsidP="00B54F64">
                      <w:pPr>
                        <w:spacing w:after="0"/>
                      </w:pPr>
                      <w:r w:rsidRPr="00B54F64">
                        <w:t>NR Option 4 “to do list” – RAN1</w:t>
                      </w:r>
                    </w:p>
                    <w:p w14:paraId="0D372EAC" w14:textId="77777777" w:rsidR="00000000" w:rsidRPr="00B54F64" w:rsidRDefault="00DD01F4" w:rsidP="00B54F64">
                      <w:pPr>
                        <w:numPr>
                          <w:ilvl w:val="0"/>
                          <w:numId w:val="13"/>
                        </w:numPr>
                        <w:spacing w:after="0"/>
                        <w:rPr>
                          <w:lang w:val="en-US"/>
                        </w:rPr>
                      </w:pPr>
                      <w:r w:rsidRPr="00B54F64">
                        <w:rPr>
                          <w:lang w:val="en-US"/>
                        </w:rPr>
                        <w:t>Need to evaluate whether new design on power control, multiplexing, etc. is nee</w:t>
                      </w:r>
                      <w:r w:rsidRPr="00B54F64">
                        <w:rPr>
                          <w:lang w:val="en-US"/>
                        </w:rPr>
                        <w:t>ded for both LTE &amp; NR specs</w:t>
                      </w:r>
                    </w:p>
                    <w:p w14:paraId="19062D91" w14:textId="77777777" w:rsidR="00000000" w:rsidRPr="00B54F64" w:rsidRDefault="00DD01F4" w:rsidP="00B54F64">
                      <w:pPr>
                        <w:numPr>
                          <w:ilvl w:val="1"/>
                          <w:numId w:val="13"/>
                        </w:numPr>
                        <w:spacing w:after="0"/>
                        <w:rPr>
                          <w:lang w:val="en-US"/>
                        </w:rPr>
                      </w:pPr>
                      <w:r w:rsidRPr="00B54F64">
                        <w:rPr>
                          <w:lang w:val="en-US"/>
                        </w:rPr>
                        <w:t>Strive for minimum RAN1 specification impact</w:t>
                      </w:r>
                    </w:p>
                    <w:p w14:paraId="152BE274" w14:textId="68B6B6DA" w:rsidR="00B54F64" w:rsidRPr="00B54F64" w:rsidRDefault="00DD01F4" w:rsidP="00B54F64">
                      <w:pPr>
                        <w:numPr>
                          <w:ilvl w:val="1"/>
                          <w:numId w:val="13"/>
                        </w:numPr>
                        <w:spacing w:after="0"/>
                        <w:rPr>
                          <w:lang w:val="en-US"/>
                        </w:rPr>
                      </w:pPr>
                      <w:r w:rsidRPr="00B54F64">
                        <w:rPr>
                          <w:lang w:val="en-US"/>
                        </w:rPr>
                        <w:t>Some (limited) RAN1 meeting time is expected</w:t>
                      </w:r>
                    </w:p>
                  </w:txbxContent>
                </v:textbox>
                <w10:anchorlock/>
              </v:shape>
            </w:pict>
          </mc:Fallback>
        </mc:AlternateContent>
      </w:r>
    </w:p>
    <w:p w14:paraId="1B22CECD" w14:textId="216456EE" w:rsidR="00B54F64" w:rsidRDefault="00B54F64" w:rsidP="00B54F64"/>
    <w:tbl>
      <w:tblPr>
        <w:tblStyle w:val="TableGrid"/>
        <w:tblW w:w="0" w:type="auto"/>
        <w:tblLook w:val="04A0" w:firstRow="1" w:lastRow="0" w:firstColumn="1" w:lastColumn="0" w:noHBand="0" w:noVBand="1"/>
      </w:tblPr>
      <w:tblGrid>
        <w:gridCol w:w="4814"/>
        <w:gridCol w:w="4815"/>
      </w:tblGrid>
      <w:tr w:rsidR="00B54F64" w14:paraId="14CC2562" w14:textId="77777777" w:rsidTr="00B54F64">
        <w:tc>
          <w:tcPr>
            <w:tcW w:w="4814" w:type="dxa"/>
          </w:tcPr>
          <w:p w14:paraId="4BAFB4C4" w14:textId="2E0D3DD8" w:rsidR="00B54F64" w:rsidRDefault="00E363F3" w:rsidP="00B54F64">
            <w:pPr>
              <w:jc w:val="center"/>
            </w:pPr>
            <w:r>
              <w:rPr>
                <w:noProof/>
              </w:rPr>
              <w:drawing>
                <wp:inline distT="0" distB="0" distL="0" distR="0" wp14:anchorId="1754D340" wp14:editId="572B2A93">
                  <wp:extent cx="1767840" cy="19754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7840" cy="1975485"/>
                          </a:xfrm>
                          <a:prstGeom prst="rect">
                            <a:avLst/>
                          </a:prstGeom>
                          <a:noFill/>
                        </pic:spPr>
                      </pic:pic>
                    </a:graphicData>
                  </a:graphic>
                </wp:inline>
              </w:drawing>
            </w:r>
          </w:p>
          <w:p w14:paraId="629A9EEB" w14:textId="3DA7D9D7" w:rsidR="00B54F64" w:rsidRDefault="00B54F64" w:rsidP="00B54F64">
            <w:pPr>
              <w:jc w:val="center"/>
            </w:pPr>
            <w:r w:rsidRPr="00B54F64">
              <w:rPr>
                <w:b/>
              </w:rPr>
              <w:t>Option 3</w:t>
            </w:r>
            <w:r>
              <w:t>: NSA EN-DC with LTE as the anchor</w:t>
            </w:r>
          </w:p>
        </w:tc>
        <w:tc>
          <w:tcPr>
            <w:tcW w:w="4815" w:type="dxa"/>
          </w:tcPr>
          <w:p w14:paraId="6AA5182C" w14:textId="1C9F7F54" w:rsidR="00B54F64" w:rsidRDefault="00391587" w:rsidP="00B54F64">
            <w:pPr>
              <w:jc w:val="center"/>
            </w:pPr>
            <w:r>
              <w:rPr>
                <w:noProof/>
              </w:rPr>
              <w:drawing>
                <wp:inline distT="0" distB="0" distL="0" distR="0" wp14:anchorId="47A412AC" wp14:editId="090B96A9">
                  <wp:extent cx="1762125" cy="19754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2125" cy="1975485"/>
                          </a:xfrm>
                          <a:prstGeom prst="rect">
                            <a:avLst/>
                          </a:prstGeom>
                          <a:noFill/>
                        </pic:spPr>
                      </pic:pic>
                    </a:graphicData>
                  </a:graphic>
                </wp:inline>
              </w:drawing>
            </w:r>
          </w:p>
          <w:p w14:paraId="60CF891E" w14:textId="44480E9D" w:rsidR="00B54F64" w:rsidRDefault="00B54F64" w:rsidP="00B54F64">
            <w:pPr>
              <w:jc w:val="center"/>
            </w:pPr>
            <w:r w:rsidRPr="00B54F64">
              <w:rPr>
                <w:b/>
              </w:rPr>
              <w:t xml:space="preserve">Option </w:t>
            </w:r>
            <w:r>
              <w:rPr>
                <w:b/>
              </w:rPr>
              <w:t>4</w:t>
            </w:r>
            <w:r>
              <w:t>: NSA EN-DC with NR as the anchor</w:t>
            </w:r>
          </w:p>
        </w:tc>
      </w:tr>
    </w:tbl>
    <w:p w14:paraId="5B0E177B" w14:textId="77777777" w:rsidR="00B54F64" w:rsidRDefault="00B54F64" w:rsidP="00B54F64"/>
    <w:p w14:paraId="71230483" w14:textId="26FDFE87" w:rsidR="00305297" w:rsidRPr="00ED1327" w:rsidRDefault="00305297" w:rsidP="00305297">
      <w:pPr>
        <w:pStyle w:val="Heading1"/>
      </w:pPr>
      <w:r>
        <w:t>2</w:t>
      </w:r>
      <w:r w:rsidRPr="0016316A">
        <w:tab/>
      </w:r>
      <w:r w:rsidR="00B54F64">
        <w:t>Discussion</w:t>
      </w:r>
    </w:p>
    <w:bookmarkEnd w:id="1"/>
    <w:p w14:paraId="193DA1C7" w14:textId="5D60F5B3" w:rsidR="000730DC" w:rsidRDefault="00485271" w:rsidP="00FA45A9">
      <w:r>
        <w:t xml:space="preserve">The current EN-DC power control is defined for the Option 3 / Option 7 </w:t>
      </w:r>
      <w:r w:rsidR="009126E8">
        <w:t>cases, where the MCC uses E-UTRA and SCG uses NR. The case where the MCG uses NR and SCG E-UTRA as in option 4 is currently undefined.</w:t>
      </w:r>
    </w:p>
    <w:p w14:paraId="51B5169B" w14:textId="73277942" w:rsidR="009126E8" w:rsidRDefault="009126E8" w:rsidP="009126E8">
      <w:r>
        <w:t>The cases where the simultaneous transmission of LTE and NR is not supported is indifferent to which of the radios is MCG and which SCG, and the modifications to power control are related to the two cases where the LTE and NR transmis</w:t>
      </w:r>
      <w:r w:rsidR="00916251">
        <w:t>sions may occur at the same time.</w:t>
      </w:r>
    </w:p>
    <w:p w14:paraId="4C63D4C2" w14:textId="6508A845" w:rsidR="00916251" w:rsidRDefault="00916251" w:rsidP="009126E8">
      <w:r>
        <w:t>For UEs not capable of dynamic power sharing between LTE and NR, no new behaviour is needed:</w:t>
      </w:r>
    </w:p>
    <w:p w14:paraId="08948356" w14:textId="5793E7AC" w:rsidR="00916251" w:rsidRDefault="00916251" w:rsidP="00916251">
      <w:pPr>
        <w:pStyle w:val="ListParagraph"/>
        <w:numPr>
          <w:ilvl w:val="0"/>
          <w:numId w:val="17"/>
        </w:numPr>
        <w:rPr>
          <w:sz w:val="20"/>
          <w:szCs w:val="20"/>
          <w:lang w:val="en-US"/>
        </w:rPr>
      </w:pPr>
      <w:r w:rsidRPr="00916251">
        <w:rPr>
          <w:sz w:val="20"/>
          <w:szCs w:val="20"/>
          <w:lang w:val="en-US"/>
        </w:rPr>
        <w:t xml:space="preserve">If the </w:t>
      </w:r>
      <w:r w:rsidRPr="00916251">
        <w:rPr>
          <w:position w:val="-10"/>
          <w:sz w:val="20"/>
          <w:szCs w:val="20"/>
        </w:rPr>
        <w:object w:dxaOrig="1740" w:dyaOrig="340" w14:anchorId="34F0C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1pt;height:17.05pt" o:ole="">
            <v:imagedata r:id="rId14" o:title=""/>
          </v:shape>
          <o:OLEObject Type="Embed" ProgID="Equation.DSMT4" ShapeID="_x0000_i1025" DrawAspect="Content" ObjectID="_1584556748" r:id="rId15"/>
        </w:object>
      </w:r>
      <w:r w:rsidRPr="00916251">
        <w:rPr>
          <w:sz w:val="20"/>
          <w:szCs w:val="20"/>
          <w:lang w:val="en-US"/>
        </w:rPr>
        <w:t xml:space="preserve"> the</w:t>
      </w:r>
      <w:r>
        <w:rPr>
          <w:sz w:val="20"/>
          <w:szCs w:val="20"/>
          <w:lang w:val="en-US"/>
        </w:rPr>
        <w:t xml:space="preserve"> UE is not expected to transmit LTE and NR simultaneously, and LTE and NR power control both operate independent of each other. There is no functional difference </w:t>
      </w:r>
      <w:r w:rsidR="0061625F">
        <w:rPr>
          <w:sz w:val="20"/>
          <w:szCs w:val="20"/>
          <w:lang w:val="en-US"/>
        </w:rPr>
        <w:t>between LTE as the MCG and NR as the SCG and vice versa.</w:t>
      </w:r>
    </w:p>
    <w:p w14:paraId="3EAA5095" w14:textId="7ED74B80" w:rsidR="00916251" w:rsidRDefault="00916251" w:rsidP="00916251">
      <w:pPr>
        <w:pStyle w:val="ListParagraph"/>
        <w:numPr>
          <w:ilvl w:val="0"/>
          <w:numId w:val="17"/>
        </w:numPr>
        <w:rPr>
          <w:sz w:val="20"/>
          <w:szCs w:val="20"/>
          <w:lang w:val="en-US"/>
        </w:rPr>
      </w:pPr>
      <w:r w:rsidRPr="00916251">
        <w:rPr>
          <w:sz w:val="20"/>
          <w:szCs w:val="20"/>
          <w:lang w:val="en-US"/>
        </w:rPr>
        <w:t xml:space="preserve">If the </w:t>
      </w:r>
      <w:r w:rsidRPr="00916251">
        <w:rPr>
          <w:position w:val="-10"/>
          <w:sz w:val="20"/>
          <w:szCs w:val="20"/>
        </w:rPr>
        <w:object w:dxaOrig="1740" w:dyaOrig="340" w14:anchorId="2FAE5803">
          <v:shape id="_x0000_i1026" type="#_x0000_t75" style="width:87.1pt;height:17.05pt" o:ole="">
            <v:imagedata r:id="rId16" o:title=""/>
          </v:shape>
          <o:OLEObject Type="Embed" ProgID="Equation.DSMT4" ShapeID="_x0000_i1026" DrawAspect="Content" ObjectID="_1584556749" r:id="rId17"/>
        </w:object>
      </w:r>
      <w:r w:rsidRPr="00916251">
        <w:rPr>
          <w:sz w:val="20"/>
          <w:szCs w:val="20"/>
          <w:lang w:val="en-US"/>
        </w:rPr>
        <w:t xml:space="preserve"> </w:t>
      </w:r>
      <w:r>
        <w:rPr>
          <w:sz w:val="20"/>
          <w:szCs w:val="20"/>
          <w:lang w:val="en-US"/>
        </w:rPr>
        <w:t xml:space="preserve">and if the UE is able to transmit simultaneously on LTE and NR, LTE and NR power control both operate independent of each other. </w:t>
      </w:r>
      <w:r w:rsidR="0061625F">
        <w:rPr>
          <w:sz w:val="20"/>
          <w:szCs w:val="20"/>
          <w:lang w:val="en-US"/>
        </w:rPr>
        <w:t>There is no functional difference between LTE as the MCG and NR as the SCG and vice versa.</w:t>
      </w:r>
    </w:p>
    <w:p w14:paraId="3817B2C5" w14:textId="19252242" w:rsidR="00916251" w:rsidRDefault="00916251" w:rsidP="00916251">
      <w:pPr>
        <w:rPr>
          <w:lang w:val="en-US"/>
        </w:rPr>
      </w:pPr>
    </w:p>
    <w:p w14:paraId="5B385CDE" w14:textId="19BFC716" w:rsidR="00916251" w:rsidRDefault="00916251" w:rsidP="00916251">
      <w:pPr>
        <w:rPr>
          <w:lang w:val="en-US"/>
        </w:rPr>
      </w:pPr>
      <w:r>
        <w:rPr>
          <w:lang w:val="en-US"/>
        </w:rPr>
        <w:t xml:space="preserve">For UEs capable of dynamic power sharing between LTE and NR, </w:t>
      </w:r>
      <w:r w:rsidR="0061625F">
        <w:rPr>
          <w:lang w:val="en-US"/>
        </w:rPr>
        <w:t xml:space="preserve">there is a need for small behavioural modification for the LTE power control </w:t>
      </w:r>
      <w:r>
        <w:rPr>
          <w:lang w:val="en-US"/>
        </w:rPr>
        <w:t>when the MCG uses NR:</w:t>
      </w:r>
    </w:p>
    <w:p w14:paraId="552F20E9" w14:textId="0C56819D" w:rsidR="00916251" w:rsidRDefault="00916251" w:rsidP="00916251">
      <w:pPr>
        <w:pStyle w:val="ListParagraph"/>
        <w:numPr>
          <w:ilvl w:val="0"/>
          <w:numId w:val="19"/>
        </w:numPr>
        <w:rPr>
          <w:sz w:val="20"/>
          <w:szCs w:val="20"/>
          <w:lang w:val="en-US"/>
        </w:rPr>
      </w:pPr>
      <w:r>
        <w:rPr>
          <w:sz w:val="20"/>
          <w:szCs w:val="20"/>
          <w:lang w:val="en-US"/>
        </w:rPr>
        <w:t>NR power control behaves as if there was no SCG</w:t>
      </w:r>
      <w:r w:rsidR="0061625F">
        <w:rPr>
          <w:sz w:val="20"/>
          <w:szCs w:val="20"/>
          <w:lang w:val="en-US"/>
        </w:rPr>
        <w:t xml:space="preserve"> using LTE, i.e. no behavioural changes needed.</w:t>
      </w:r>
    </w:p>
    <w:p w14:paraId="73561AFC" w14:textId="233D50E7" w:rsidR="00BF4A05" w:rsidRPr="00916251" w:rsidRDefault="00BF4A05" w:rsidP="00916251">
      <w:pPr>
        <w:pStyle w:val="ListParagraph"/>
        <w:numPr>
          <w:ilvl w:val="0"/>
          <w:numId w:val="19"/>
        </w:numPr>
        <w:rPr>
          <w:sz w:val="20"/>
          <w:szCs w:val="20"/>
          <w:lang w:val="en-US"/>
        </w:rPr>
      </w:pPr>
      <w:r>
        <w:rPr>
          <w:sz w:val="20"/>
          <w:szCs w:val="20"/>
          <w:lang w:val="en-US"/>
        </w:rPr>
        <w:t>LTE pow</w:t>
      </w:r>
      <w:r w:rsidR="0061625F">
        <w:rPr>
          <w:sz w:val="20"/>
          <w:szCs w:val="20"/>
          <w:lang w:val="en-US"/>
        </w:rPr>
        <w:t xml:space="preserve">er control needs to calculate a new </w:t>
      </w:r>
      <w:r w:rsidR="0061625F" w:rsidRPr="0061625F">
        <w:rPr>
          <w:i/>
          <w:sz w:val="20"/>
          <w:szCs w:val="20"/>
          <w:lang w:val="en-US"/>
        </w:rPr>
        <w:t>P</w:t>
      </w:r>
      <w:r w:rsidR="0061625F" w:rsidRPr="0061625F">
        <w:rPr>
          <w:i/>
          <w:sz w:val="20"/>
          <w:szCs w:val="20"/>
          <w:vertAlign w:val="subscript"/>
          <w:lang w:val="en-US"/>
        </w:rPr>
        <w:t>CMAX,c</w:t>
      </w:r>
      <w:r w:rsidR="0061625F" w:rsidRPr="0061625F">
        <w:rPr>
          <w:i/>
          <w:sz w:val="20"/>
          <w:szCs w:val="20"/>
          <w:lang w:val="en-US"/>
        </w:rPr>
        <w:t>(i)</w:t>
      </w:r>
      <w:r w:rsidR="0061625F">
        <w:rPr>
          <w:sz w:val="20"/>
          <w:szCs w:val="20"/>
          <w:lang w:val="en-US"/>
        </w:rPr>
        <w:t xml:space="preserve"> , taking into account the power share the NR was using.</w:t>
      </w:r>
    </w:p>
    <w:p w14:paraId="01A01C95" w14:textId="77777777" w:rsidR="00916251" w:rsidRPr="00916251" w:rsidRDefault="00916251" w:rsidP="00916251">
      <w:pPr>
        <w:rPr>
          <w:lang w:val="en-US"/>
        </w:rPr>
      </w:pPr>
    </w:p>
    <w:p w14:paraId="42517BB4" w14:textId="609F4F01" w:rsidR="009126E8" w:rsidRDefault="0061625F" w:rsidP="009126E8">
      <w:pPr>
        <w:rPr>
          <w:lang w:val="en-US"/>
        </w:rPr>
      </w:pPr>
      <w:r>
        <w:rPr>
          <w:b/>
          <w:lang w:val="en-US"/>
        </w:rPr>
        <w:t xml:space="preserve">Proposal 1: </w:t>
      </w:r>
      <w:r w:rsidR="00454986" w:rsidRPr="005A4F32">
        <w:rPr>
          <w:rFonts w:eastAsia="Times New Roman"/>
          <w:lang w:val="x-none" w:eastAsia="ja-JP"/>
        </w:rPr>
        <w:t xml:space="preserve">If the UE </w:t>
      </w:r>
      <w:r w:rsidR="00454986" w:rsidRPr="005A4F32">
        <w:rPr>
          <w:rFonts w:eastAsia="Times New Roman"/>
          <w:lang w:val="en-US" w:eastAsia="ja-JP"/>
        </w:rPr>
        <w:t xml:space="preserve">is </w:t>
      </w:r>
      <w:r w:rsidR="00454986" w:rsidRPr="005A4F32">
        <w:rPr>
          <w:rFonts w:eastAsia="Times New Roman" w:hint="eastAsia"/>
          <w:lang w:val="x-none" w:eastAsia="zh-CN"/>
        </w:rPr>
        <w:t>configured</w:t>
      </w:r>
      <w:r w:rsidR="00454986" w:rsidRPr="005A4F32">
        <w:rPr>
          <w:rFonts w:eastAsia="Times New Roman"/>
          <w:lang w:val="x-none"/>
        </w:rPr>
        <w:t xml:space="preserve"> </w:t>
      </w:r>
      <w:r w:rsidR="00454986" w:rsidRPr="005A4F32">
        <w:rPr>
          <w:rFonts w:eastAsia="Times New Roman" w:hint="eastAsia"/>
          <w:lang w:val="x-none" w:eastAsia="zh-CN"/>
        </w:rPr>
        <w:t xml:space="preserve">with </w:t>
      </w:r>
      <w:r w:rsidR="00454986" w:rsidRPr="005A4F32">
        <w:rPr>
          <w:rFonts w:eastAsia="Times New Roman"/>
          <w:lang w:val="x-none"/>
        </w:rPr>
        <w:t>reference TDD configuration</w:t>
      </w:r>
      <w:r w:rsidR="00454986" w:rsidRPr="005A4F32">
        <w:rPr>
          <w:rFonts w:eastAsia="Times New Roman" w:hint="eastAsia"/>
          <w:lang w:val="x-none" w:eastAsia="zh-CN"/>
        </w:rPr>
        <w:t xml:space="preserve"> </w:t>
      </w:r>
      <w:r w:rsidR="00454986" w:rsidRPr="005A4F32">
        <w:rPr>
          <w:rFonts w:eastAsia="Times New Roman"/>
          <w:lang w:val="en-US" w:eastAsia="zh-CN"/>
        </w:rPr>
        <w:t>for EUTRA</w:t>
      </w:r>
      <w:r w:rsidR="00454986">
        <w:rPr>
          <w:lang w:val="en-US"/>
        </w:rPr>
        <w:t>: E</w:t>
      </w:r>
      <w:r>
        <w:rPr>
          <w:lang w:val="en-US"/>
        </w:rPr>
        <w:t>xtend the behavior defined in 38.213 subclause 7.6.1 to apply as is also for the case where MCG uses NR and SCG uses LTE.</w:t>
      </w:r>
    </w:p>
    <w:p w14:paraId="0843D579" w14:textId="77777777" w:rsidR="00454986" w:rsidRDefault="00454986" w:rsidP="00454986">
      <w:pPr>
        <w:rPr>
          <w:lang w:val="en-US"/>
        </w:rPr>
      </w:pPr>
      <w:r>
        <w:rPr>
          <w:b/>
          <w:lang w:val="en-US"/>
        </w:rPr>
        <w:t xml:space="preserve">Proposal 2: </w:t>
      </w:r>
      <w:r w:rsidRPr="005A4F32">
        <w:rPr>
          <w:rFonts w:eastAsia="Times New Roman"/>
          <w:lang w:val="x-none" w:eastAsia="ja-JP"/>
        </w:rPr>
        <w:t>If the UE indicate</w:t>
      </w:r>
      <w:r w:rsidRPr="005A4F32">
        <w:rPr>
          <w:rFonts w:eastAsia="Times New Roman"/>
          <w:lang w:val="en-US" w:eastAsia="ja-JP"/>
        </w:rPr>
        <w:t>s</w:t>
      </w:r>
      <w:r w:rsidRPr="005A4F32">
        <w:rPr>
          <w:rFonts w:eastAsia="Times New Roman"/>
          <w:lang w:val="x-none" w:eastAsia="ja-JP"/>
        </w:rPr>
        <w:t xml:space="preserve"> a capability for dynamic power sharing</w:t>
      </w:r>
      <w:r w:rsidRPr="005A4F32">
        <w:rPr>
          <w:rFonts w:eastAsia="Times New Roman"/>
          <w:lang w:val="en-US" w:eastAsia="ja-JP"/>
        </w:rPr>
        <w:t xml:space="preserve"> between EUTRA and NR</w:t>
      </w:r>
      <w:r>
        <w:rPr>
          <w:lang w:val="en-US"/>
        </w:rPr>
        <w:t xml:space="preserve"> and the MCG uses NR and SCG uses LTE: </w:t>
      </w:r>
    </w:p>
    <w:p w14:paraId="3AAF444F" w14:textId="5AA6B5D3" w:rsidR="00454986" w:rsidRDefault="00454986" w:rsidP="00454986">
      <w:pPr>
        <w:pStyle w:val="ListParagraph"/>
        <w:numPr>
          <w:ilvl w:val="0"/>
          <w:numId w:val="20"/>
        </w:numPr>
        <w:rPr>
          <w:sz w:val="20"/>
          <w:szCs w:val="20"/>
          <w:lang w:val="en-US"/>
        </w:rPr>
      </w:pPr>
      <w:r w:rsidRPr="00454986">
        <w:rPr>
          <w:sz w:val="20"/>
          <w:szCs w:val="20"/>
          <w:lang w:val="en-US"/>
        </w:rPr>
        <w:t>The NR power control behavior follows the same definition as when there was no SCG using LTE configured.</w:t>
      </w:r>
    </w:p>
    <w:p w14:paraId="489A3F09" w14:textId="5A85D573" w:rsidR="00454986" w:rsidRDefault="00454986" w:rsidP="00454986">
      <w:pPr>
        <w:pStyle w:val="ListParagraph"/>
        <w:numPr>
          <w:ilvl w:val="0"/>
          <w:numId w:val="20"/>
        </w:numPr>
        <w:rPr>
          <w:sz w:val="20"/>
          <w:szCs w:val="20"/>
          <w:lang w:val="en-US"/>
        </w:rPr>
      </w:pPr>
      <w:r>
        <w:rPr>
          <w:sz w:val="20"/>
          <w:szCs w:val="20"/>
          <w:lang w:val="en-US"/>
        </w:rPr>
        <w:t xml:space="preserve">The LTE power control calculates a new </w:t>
      </w:r>
      <w:r w:rsidRPr="00454986">
        <w:rPr>
          <w:i/>
          <w:sz w:val="20"/>
          <w:szCs w:val="20"/>
          <w:lang w:val="en-US"/>
        </w:rPr>
        <w:t>P</w:t>
      </w:r>
      <w:r w:rsidRPr="00454986">
        <w:rPr>
          <w:i/>
          <w:sz w:val="20"/>
          <w:szCs w:val="20"/>
          <w:vertAlign w:val="subscript"/>
          <w:lang w:val="en-US"/>
        </w:rPr>
        <w:t>CMAX,c</w:t>
      </w:r>
      <w:r w:rsidRPr="00454986">
        <w:rPr>
          <w:i/>
          <w:sz w:val="20"/>
          <w:szCs w:val="20"/>
          <w:lang w:val="en-US"/>
        </w:rPr>
        <w:t>(i)</w:t>
      </w:r>
      <w:r>
        <w:rPr>
          <w:sz w:val="20"/>
          <w:szCs w:val="20"/>
          <w:lang w:val="en-US"/>
        </w:rPr>
        <w:t>, taking the power used by the NR transmission into account.</w:t>
      </w:r>
    </w:p>
    <w:p w14:paraId="5B5A921D" w14:textId="77777777" w:rsidR="00454986" w:rsidRPr="00454986" w:rsidRDefault="00454986" w:rsidP="00454986">
      <w:pPr>
        <w:pStyle w:val="ListParagraph"/>
        <w:rPr>
          <w:sz w:val="20"/>
          <w:szCs w:val="20"/>
          <w:lang w:val="en-US"/>
        </w:rPr>
      </w:pPr>
    </w:p>
    <w:p w14:paraId="2EDEF6D0" w14:textId="7AD4AEAE" w:rsidR="00454986" w:rsidRPr="0061625F" w:rsidRDefault="00454986" w:rsidP="009126E8">
      <w:pPr>
        <w:rPr>
          <w:lang w:val="en-US"/>
        </w:rPr>
      </w:pPr>
      <w:r>
        <w:rPr>
          <w:b/>
          <w:lang w:val="en-US"/>
        </w:rPr>
        <w:t xml:space="preserve">Proposal 3: </w:t>
      </w:r>
      <w:r>
        <w:rPr>
          <w:rFonts w:eastAsia="Times New Roman"/>
          <w:lang w:val="x-none" w:eastAsia="ja-JP"/>
        </w:rPr>
        <w:t xml:space="preserve">Send an LS to RAN4 requesting for the new </w:t>
      </w:r>
      <w:r w:rsidRPr="00454986">
        <w:rPr>
          <w:i/>
          <w:lang w:val="en-US"/>
        </w:rPr>
        <w:t>P</w:t>
      </w:r>
      <w:r w:rsidRPr="00454986">
        <w:rPr>
          <w:i/>
          <w:vertAlign w:val="subscript"/>
          <w:lang w:val="en-US"/>
        </w:rPr>
        <w:t>CMAX,c</w:t>
      </w:r>
      <w:r w:rsidRPr="00454986">
        <w:rPr>
          <w:i/>
          <w:lang w:val="en-US"/>
        </w:rPr>
        <w:t>(i)</w:t>
      </w:r>
      <w:r>
        <w:rPr>
          <w:lang w:val="en-US"/>
        </w:rPr>
        <w:t xml:space="preserve"> calculation for the case where MCG uses NR and SCG uses LTE.</w:t>
      </w:r>
    </w:p>
    <w:p w14:paraId="1AC4CD54" w14:textId="57ADB269" w:rsidR="00B54F64" w:rsidRPr="00ED1327" w:rsidRDefault="00B54F64" w:rsidP="00B54F64">
      <w:pPr>
        <w:pStyle w:val="Heading1"/>
      </w:pPr>
      <w:bookmarkStart w:id="2" w:name="_Ref510540035"/>
      <w:r>
        <w:t>References</w:t>
      </w:r>
    </w:p>
    <w:p w14:paraId="30CCC76E" w14:textId="369C21DE" w:rsidR="00B54F64" w:rsidRPr="005A4F32" w:rsidRDefault="00B54F64" w:rsidP="00B54F64">
      <w:pPr>
        <w:numPr>
          <w:ilvl w:val="0"/>
          <w:numId w:val="12"/>
        </w:numPr>
        <w:overflowPunct/>
        <w:spacing w:after="120" w:line="259" w:lineRule="auto"/>
        <w:jc w:val="both"/>
        <w:textAlignment w:val="auto"/>
        <w:rPr>
          <w:lang w:val="en-US"/>
        </w:rPr>
      </w:pPr>
      <w:bookmarkStart w:id="3" w:name="_Ref510791645"/>
      <w:r>
        <w:t>RP-180554 “</w:t>
      </w:r>
      <w:r w:rsidRPr="00B54F64">
        <w:t>Plan for finalizing all NR architecture options</w:t>
      </w:r>
      <w:r>
        <w:t>”</w:t>
      </w:r>
      <w:bookmarkEnd w:id="2"/>
      <w:r>
        <w:t xml:space="preserve">, </w:t>
      </w:r>
      <w:r w:rsidRPr="00B54F64">
        <w:rPr>
          <w:lang w:val="en-US"/>
        </w:rPr>
        <w:t xml:space="preserve">TSG-RAN Chair, RAN WG3 </w:t>
      </w:r>
      <w:r w:rsidRPr="00B54F64">
        <w:rPr>
          <w:lang w:val="fr-FR"/>
        </w:rPr>
        <w:t>Chair, RAN WG2 Chair, RAN WG1 Chair, RAN WG4 Chair</w:t>
      </w:r>
      <w:bookmarkEnd w:id="3"/>
    </w:p>
    <w:p w14:paraId="5CF04A74" w14:textId="09651F42" w:rsidR="005A4F32" w:rsidRDefault="005A4F32">
      <w:pPr>
        <w:overflowPunct/>
        <w:autoSpaceDE/>
        <w:autoSpaceDN/>
        <w:adjustRightInd/>
        <w:spacing w:after="0"/>
        <w:textAlignment w:val="auto"/>
        <w:rPr>
          <w:lang w:val="fr-FR"/>
        </w:rPr>
      </w:pPr>
      <w:r>
        <w:rPr>
          <w:lang w:val="fr-FR"/>
        </w:rPr>
        <w:br w:type="page"/>
      </w:r>
    </w:p>
    <w:p w14:paraId="076CD5A9" w14:textId="77777777" w:rsidR="005A4F32" w:rsidRPr="00B54F64" w:rsidRDefault="005A4F32" w:rsidP="005A4F32">
      <w:pPr>
        <w:overflowPunct/>
        <w:spacing w:after="120" w:line="259" w:lineRule="auto"/>
        <w:ind w:left="360"/>
        <w:jc w:val="both"/>
        <w:textAlignment w:val="auto"/>
        <w:rPr>
          <w:lang w:val="en-US"/>
        </w:rPr>
      </w:pPr>
    </w:p>
    <w:p w14:paraId="7FD8AE1A" w14:textId="74EAC778" w:rsidR="005A4F32" w:rsidRPr="00ED1327" w:rsidRDefault="005A4F32" w:rsidP="005A4F32">
      <w:pPr>
        <w:pStyle w:val="Heading1"/>
      </w:pPr>
      <w:r>
        <w:t>Annex TS38.213 power control for EN-DC</w:t>
      </w:r>
    </w:p>
    <w:p w14:paraId="076DC57B" w14:textId="171B2297" w:rsidR="000730DC" w:rsidRDefault="000730DC" w:rsidP="009D4F88"/>
    <w:p w14:paraId="76F2ACCF" w14:textId="77777777" w:rsidR="005A4F32" w:rsidRPr="005A4F32" w:rsidRDefault="005A4F32" w:rsidP="005A4F32">
      <w:pPr>
        <w:keepNext/>
        <w:keepLines/>
        <w:overflowPunct/>
        <w:autoSpaceDE/>
        <w:autoSpaceDN/>
        <w:adjustRightInd/>
        <w:spacing w:before="180"/>
        <w:ind w:left="566" w:hanging="566"/>
        <w:textAlignment w:val="auto"/>
        <w:outlineLvl w:val="1"/>
        <w:rPr>
          <w:rFonts w:ascii="Arial" w:eastAsia="Times New Roman" w:hAnsi="Arial"/>
          <w:sz w:val="32"/>
        </w:rPr>
      </w:pPr>
      <w:bookmarkStart w:id="4" w:name="_Toc508784679"/>
      <w:bookmarkStart w:id="5" w:name="_Toc492222124"/>
      <w:r w:rsidRPr="005A4F32">
        <w:rPr>
          <w:rFonts w:ascii="Arial" w:eastAsia="Times New Roman" w:hAnsi="Arial"/>
          <w:sz w:val="32"/>
        </w:rPr>
        <w:t>7.6</w:t>
      </w:r>
      <w:r w:rsidRPr="005A4F32">
        <w:rPr>
          <w:rFonts w:ascii="Arial" w:eastAsia="Times New Roman" w:hAnsi="Arial"/>
          <w:sz w:val="32"/>
        </w:rPr>
        <w:tab/>
      </w:r>
      <w:r w:rsidRPr="005A4F32">
        <w:rPr>
          <w:rFonts w:ascii="Arial" w:eastAsia="Times New Roman" w:hAnsi="Arial"/>
          <w:sz w:val="32"/>
        </w:rPr>
        <w:tab/>
      </w:r>
      <w:r w:rsidRPr="005A4F32">
        <w:rPr>
          <w:rFonts w:ascii="Arial" w:eastAsia="Times New Roman" w:hAnsi="Arial"/>
          <w:sz w:val="32"/>
        </w:rPr>
        <w:tab/>
      </w:r>
      <w:r w:rsidRPr="005A4F32">
        <w:rPr>
          <w:rFonts w:ascii="Arial" w:eastAsia="Times New Roman" w:hAnsi="Arial"/>
          <w:sz w:val="32"/>
        </w:rPr>
        <w:tab/>
        <w:t>Dual connectivity</w:t>
      </w:r>
      <w:bookmarkEnd w:id="4"/>
    </w:p>
    <w:p w14:paraId="56DC6CDF" w14:textId="77777777" w:rsidR="005A4F32" w:rsidRPr="005A4F32" w:rsidRDefault="005A4F32" w:rsidP="005A4F32">
      <w:pPr>
        <w:keepNext/>
        <w:keepLines/>
        <w:overflowPunct/>
        <w:autoSpaceDE/>
        <w:autoSpaceDN/>
        <w:adjustRightInd/>
        <w:spacing w:before="120"/>
        <w:ind w:left="1134" w:hanging="1134"/>
        <w:textAlignment w:val="auto"/>
        <w:outlineLvl w:val="2"/>
        <w:rPr>
          <w:rFonts w:ascii="Arial" w:eastAsia="Times New Roman" w:hAnsi="Arial"/>
          <w:sz w:val="28"/>
        </w:rPr>
      </w:pPr>
      <w:bookmarkStart w:id="6" w:name="_Toc508784680"/>
      <w:r w:rsidRPr="005A4F32">
        <w:rPr>
          <w:rFonts w:ascii="Arial" w:eastAsia="Times New Roman" w:hAnsi="Arial"/>
          <w:sz w:val="28"/>
        </w:rPr>
        <w:t>7.6.1</w:t>
      </w:r>
      <w:r w:rsidRPr="005A4F32">
        <w:rPr>
          <w:rFonts w:ascii="Arial" w:eastAsia="Times New Roman" w:hAnsi="Arial"/>
          <w:sz w:val="28"/>
        </w:rPr>
        <w:tab/>
        <w:t>EN-DC</w:t>
      </w:r>
      <w:bookmarkEnd w:id="6"/>
    </w:p>
    <w:bookmarkEnd w:id="5"/>
    <w:p w14:paraId="61498199" w14:textId="77777777" w:rsidR="005A4F32" w:rsidRPr="005A4F32" w:rsidRDefault="005A4F32" w:rsidP="005A4F32">
      <w:pPr>
        <w:overflowPunct/>
        <w:autoSpaceDE/>
        <w:autoSpaceDN/>
        <w:adjustRightInd/>
        <w:textAlignment w:val="auto"/>
        <w:rPr>
          <w:rFonts w:eastAsia="Times New Roman"/>
          <w:lang w:eastAsia="ja-JP"/>
        </w:rPr>
      </w:pPr>
      <w:r w:rsidRPr="005A4F32">
        <w:rPr>
          <w:rFonts w:eastAsia="Times New Roman"/>
        </w:rPr>
        <w:t xml:space="preserve">If a UE is configured with a MCG using E-UTRA radio access and with a SCG using </w:t>
      </w:r>
      <w:r w:rsidRPr="005A4F32">
        <w:rPr>
          <w:rFonts w:eastAsia="Times New Roman"/>
          <w:lang w:eastAsia="ja-JP"/>
        </w:rPr>
        <w:t xml:space="preserve">NR radio access, the UE is configured a maximum power </w:t>
      </w:r>
      <w:r w:rsidRPr="005A4F32">
        <w:rPr>
          <w:rFonts w:eastAsia="Times New Roman"/>
          <w:position w:val="-10"/>
        </w:rPr>
        <w:object w:dxaOrig="400" w:dyaOrig="300" w14:anchorId="7CE2C7E6">
          <v:shape id="_x0000_i1027" type="#_x0000_t75" style="width:20pt;height:15pt" o:ole="">
            <v:imagedata r:id="rId18" o:title=""/>
          </v:shape>
          <o:OLEObject Type="Embed" ProgID="Equation.3" ShapeID="_x0000_i1027" DrawAspect="Content" ObjectID="_1584556750" r:id="rId19"/>
        </w:object>
      </w:r>
      <w:r w:rsidRPr="005A4F32">
        <w:rPr>
          <w:rFonts w:eastAsia="Times New Roman"/>
          <w:lang w:eastAsia="ja-JP"/>
        </w:rPr>
        <w:t xml:space="preserve"> for transmissions on the MCG by higher layer parameter </w:t>
      </w:r>
      <w:r w:rsidRPr="005A4F32">
        <w:rPr>
          <w:rFonts w:eastAsia="Times New Roman"/>
          <w:i/>
          <w:lang w:eastAsia="ja-JP"/>
        </w:rPr>
        <w:t>P-LTE</w:t>
      </w:r>
      <w:r w:rsidRPr="005A4F32">
        <w:rPr>
          <w:rFonts w:eastAsia="Times New Roman"/>
          <w:lang w:eastAsia="ja-JP"/>
        </w:rPr>
        <w:t xml:space="preserve"> and a maximum power </w:t>
      </w:r>
      <w:r w:rsidRPr="005A4F32">
        <w:rPr>
          <w:rFonts w:eastAsia="Times New Roman"/>
          <w:position w:val="-10"/>
        </w:rPr>
        <w:object w:dxaOrig="360" w:dyaOrig="300" w14:anchorId="231BB832">
          <v:shape id="_x0000_i1028" type="#_x0000_t75" style="width:18pt;height:15pt" o:ole="">
            <v:imagedata r:id="rId20" o:title=""/>
          </v:shape>
          <o:OLEObject Type="Embed" ProgID="Equation.3" ShapeID="_x0000_i1028" DrawAspect="Content" ObjectID="_1584556751" r:id="rId21"/>
        </w:object>
      </w:r>
      <w:r w:rsidRPr="005A4F32">
        <w:rPr>
          <w:rFonts w:eastAsia="Times New Roman"/>
        </w:rPr>
        <w:t xml:space="preserve"> </w:t>
      </w:r>
      <w:r w:rsidRPr="005A4F32">
        <w:rPr>
          <w:rFonts w:eastAsia="Times New Roman"/>
          <w:lang w:eastAsia="ja-JP"/>
        </w:rPr>
        <w:t xml:space="preserve">for transmissions on the SCG by higher layer parameter </w:t>
      </w:r>
      <w:r w:rsidRPr="005A4F32">
        <w:rPr>
          <w:rFonts w:eastAsia="Times New Roman"/>
          <w:i/>
          <w:lang w:eastAsia="ja-JP"/>
        </w:rPr>
        <w:t>P-NR</w:t>
      </w:r>
      <w:r w:rsidRPr="005A4F32">
        <w:rPr>
          <w:rFonts w:eastAsia="Times New Roman"/>
          <w:lang w:eastAsia="ja-JP"/>
        </w:rPr>
        <w:t xml:space="preserve">. </w:t>
      </w:r>
      <w:r w:rsidRPr="005A4F32">
        <w:rPr>
          <w:rFonts w:eastAsia="Times New Roman"/>
          <w:lang w:val="en-US" w:eastAsia="zh-CN"/>
        </w:rPr>
        <w:t>T</w:t>
      </w:r>
      <w:r w:rsidRPr="005A4F32">
        <w:rPr>
          <w:rFonts w:eastAsia="Times New Roman"/>
        </w:rPr>
        <w:t xml:space="preserve">he UE determines a transmission power for the MCG as described in [13, TS 36.213] </w:t>
      </w:r>
      <w:r w:rsidRPr="005A4F32">
        <w:rPr>
          <w:rFonts w:eastAsia="Times New Roman"/>
          <w:lang w:val="en-US"/>
        </w:rPr>
        <w:t xml:space="preserve">using </w:t>
      </w:r>
      <w:r w:rsidRPr="005A4F32">
        <w:rPr>
          <w:rFonts w:eastAsia="Times New Roman"/>
          <w:position w:val="-10"/>
        </w:rPr>
        <w:object w:dxaOrig="400" w:dyaOrig="300" w14:anchorId="79761088">
          <v:shape id="_x0000_i1029" type="#_x0000_t75" style="width:20pt;height:15pt" o:ole="">
            <v:imagedata r:id="rId22" o:title=""/>
          </v:shape>
          <o:OLEObject Type="Embed" ProgID="Equation.3" ShapeID="_x0000_i1029" DrawAspect="Content" ObjectID="_1584556752" r:id="rId23"/>
        </w:object>
      </w:r>
      <w:r w:rsidRPr="005A4F32">
        <w:rPr>
          <w:rFonts w:eastAsia="Times New Roman"/>
          <w:lang w:val="en-US"/>
        </w:rPr>
        <w:t xml:space="preserve"> as the maximum transmission power. The UE determines</w:t>
      </w:r>
      <w:r w:rsidRPr="005A4F32">
        <w:rPr>
          <w:rFonts w:eastAsia="Times New Roman"/>
        </w:rPr>
        <w:t xml:space="preserve"> transmission power for the SCG as described Subclauses </w:t>
      </w:r>
      <w:r w:rsidRPr="005A4F32">
        <w:rPr>
          <w:rFonts w:eastAsia="Times New Roman"/>
        </w:rPr>
        <w:fldChar w:fldCharType="begin"/>
      </w:r>
      <w:r w:rsidRPr="005A4F32">
        <w:rPr>
          <w:rFonts w:eastAsia="Times New Roman"/>
        </w:rPr>
        <w:instrText xml:space="preserve"> REF _Ref505262297 \h </w:instrText>
      </w:r>
      <w:r w:rsidRPr="005A4F32">
        <w:rPr>
          <w:rFonts w:eastAsia="Times New Roman"/>
        </w:rPr>
      </w:r>
      <w:r w:rsidRPr="005A4F32">
        <w:rPr>
          <w:rFonts w:eastAsia="Times New Roman"/>
        </w:rPr>
        <w:fldChar w:fldCharType="separate"/>
      </w:r>
      <w:r w:rsidRPr="005A4F32">
        <w:rPr>
          <w:rFonts w:eastAsia="Times New Roman"/>
        </w:rPr>
        <w:t>7.1</w:t>
      </w:r>
      <w:r w:rsidRPr="005A4F32">
        <w:rPr>
          <w:rFonts w:eastAsia="Times New Roman"/>
        </w:rPr>
        <w:fldChar w:fldCharType="end"/>
      </w:r>
      <w:r w:rsidRPr="005A4F32">
        <w:rPr>
          <w:rFonts w:eastAsia="Times New Roman"/>
        </w:rPr>
        <w:t xml:space="preserve"> through </w:t>
      </w:r>
      <w:r w:rsidRPr="005A4F32">
        <w:rPr>
          <w:rFonts w:eastAsia="Times New Roman"/>
        </w:rPr>
        <w:fldChar w:fldCharType="begin"/>
      </w:r>
      <w:r w:rsidRPr="005A4F32">
        <w:rPr>
          <w:rFonts w:eastAsia="Times New Roman"/>
        </w:rPr>
        <w:instrText xml:space="preserve"> REF _Ref505262332 \h </w:instrText>
      </w:r>
      <w:r w:rsidRPr="005A4F32">
        <w:rPr>
          <w:rFonts w:eastAsia="Times New Roman"/>
        </w:rPr>
      </w:r>
      <w:r w:rsidRPr="005A4F32">
        <w:rPr>
          <w:rFonts w:eastAsia="Times New Roman"/>
        </w:rPr>
        <w:fldChar w:fldCharType="separate"/>
      </w:r>
      <w:r w:rsidRPr="005A4F32">
        <w:rPr>
          <w:rFonts w:eastAsia="Times New Roman"/>
        </w:rPr>
        <w:t>7.5</w:t>
      </w:r>
      <w:r w:rsidRPr="005A4F32">
        <w:rPr>
          <w:rFonts w:eastAsia="Times New Roman"/>
        </w:rPr>
        <w:fldChar w:fldCharType="end"/>
      </w:r>
      <w:r w:rsidRPr="005A4F32">
        <w:rPr>
          <w:rFonts w:eastAsia="Times New Roman"/>
          <w:lang w:val="en-US"/>
        </w:rPr>
        <w:t xml:space="preserve"> using </w:t>
      </w:r>
      <w:r w:rsidRPr="005A4F32">
        <w:rPr>
          <w:rFonts w:eastAsia="Times New Roman"/>
          <w:position w:val="-10"/>
        </w:rPr>
        <w:object w:dxaOrig="360" w:dyaOrig="300" w14:anchorId="41651E5A">
          <v:shape id="_x0000_i1030" type="#_x0000_t75" style="width:18pt;height:15pt" o:ole="">
            <v:imagedata r:id="rId24" o:title=""/>
          </v:shape>
          <o:OLEObject Type="Embed" ProgID="Equation.3" ShapeID="_x0000_i1030" DrawAspect="Content" ObjectID="_1584556753" r:id="rId25"/>
        </w:object>
      </w:r>
      <w:r w:rsidRPr="005A4F32">
        <w:rPr>
          <w:rFonts w:eastAsia="Times New Roman"/>
          <w:lang w:val="en-US"/>
        </w:rPr>
        <w:t xml:space="preserve"> as the maximum transmission power</w:t>
      </w:r>
      <w:r w:rsidRPr="005A4F32">
        <w:rPr>
          <w:rFonts w:eastAsia="Times New Roman"/>
        </w:rPr>
        <w:t xml:space="preserve"> for </w:t>
      </w:r>
      <w:r w:rsidRPr="005A4F32">
        <w:rPr>
          <w:rFonts w:eastAsia="Times New Roman"/>
          <w:position w:val="-10"/>
        </w:rPr>
        <w:object w:dxaOrig="1060" w:dyaOrig="300" w14:anchorId="5F4A40BB">
          <v:shape id="_x0000_i1031" type="#_x0000_t75" style="width:53pt;height:15pt" o:ole="">
            <v:imagedata r:id="rId26" o:title=""/>
          </v:shape>
          <o:OLEObject Type="Embed" ProgID="Equation.3" ShapeID="_x0000_i1031" DrawAspect="Content" ObjectID="_1584556754" r:id="rId27"/>
        </w:object>
      </w:r>
      <w:r w:rsidRPr="005A4F32">
        <w:rPr>
          <w:rFonts w:eastAsia="Times New Roman"/>
          <w:lang w:val="en-US"/>
        </w:rPr>
        <w:t>.</w:t>
      </w:r>
    </w:p>
    <w:p w14:paraId="5BFDBB93" w14:textId="77777777" w:rsidR="005A4F32" w:rsidRPr="005A4F32" w:rsidRDefault="005A4F32" w:rsidP="005A4F32">
      <w:pPr>
        <w:overflowPunct/>
        <w:autoSpaceDE/>
        <w:autoSpaceDN/>
        <w:adjustRightInd/>
        <w:textAlignment w:val="auto"/>
        <w:rPr>
          <w:rFonts w:eastAsia="Times New Roman"/>
          <w:lang w:eastAsia="ja-JP"/>
        </w:rPr>
      </w:pPr>
      <w:r w:rsidRPr="005A4F32">
        <w:rPr>
          <w:rFonts w:eastAsia="Times New Roman"/>
          <w:lang w:eastAsia="ja-JP"/>
        </w:rPr>
        <w:t xml:space="preserve">If a UE is configured with </w:t>
      </w:r>
      <w:r w:rsidRPr="005A4F32">
        <w:rPr>
          <w:rFonts w:eastAsia="Times New Roman"/>
          <w:position w:val="-10"/>
        </w:rPr>
        <w:object w:dxaOrig="1620" w:dyaOrig="340" w14:anchorId="3EA21E33">
          <v:shape id="_x0000_i1032" type="#_x0000_t75" style="width:81.1pt;height:17.05pt" o:ole="">
            <v:imagedata r:id="rId28" o:title=""/>
          </v:shape>
          <o:OLEObject Type="Embed" ProgID="Equation.3" ShapeID="_x0000_i1032" DrawAspect="Content" ObjectID="_1584556755" r:id="rId29"/>
        </w:object>
      </w:r>
      <w:r w:rsidRPr="005A4F32">
        <w:rPr>
          <w:rFonts w:eastAsia="Times New Roman"/>
        </w:rPr>
        <w:t xml:space="preserve">, where </w:t>
      </w:r>
      <w:r w:rsidRPr="005A4F32">
        <w:rPr>
          <w:rFonts w:eastAsia="Times New Roman"/>
          <w:position w:val="-10"/>
        </w:rPr>
        <w:object w:dxaOrig="400" w:dyaOrig="340" w14:anchorId="6C6D6351">
          <v:shape id="_x0000_i1033" type="#_x0000_t75" style="width:20pt;height:17pt" o:ole="">
            <v:imagedata r:id="rId30" o:title=""/>
          </v:shape>
          <o:OLEObject Type="Embed" ProgID="Equation.3" ShapeID="_x0000_i1033" DrawAspect="Content" ObjectID="_1584556756" r:id="rId31"/>
        </w:object>
      </w:r>
      <w:r w:rsidRPr="005A4F32">
        <w:rPr>
          <w:rFonts w:eastAsia="Times New Roman" w:hint="eastAsia"/>
          <w:lang w:eastAsia="zh-CN"/>
        </w:rPr>
        <w:t xml:space="preserve"> is the linear value</w:t>
      </w:r>
      <w:r w:rsidRPr="005A4F32">
        <w:rPr>
          <w:rFonts w:eastAsia="Times New Roman"/>
          <w:lang w:eastAsia="ja-JP"/>
        </w:rPr>
        <w:t xml:space="preserve"> of </w:t>
      </w:r>
      <w:r w:rsidRPr="005A4F32">
        <w:rPr>
          <w:rFonts w:eastAsia="Times New Roman"/>
          <w:position w:val="-10"/>
        </w:rPr>
        <w:object w:dxaOrig="400" w:dyaOrig="300" w14:anchorId="3B87FDA2">
          <v:shape id="_x0000_i1034" type="#_x0000_t75" style="width:20pt;height:15pt" o:ole="">
            <v:imagedata r:id="rId18" o:title=""/>
          </v:shape>
          <o:OLEObject Type="Embed" ProgID="Equation.3" ShapeID="_x0000_i1034" DrawAspect="Content" ObjectID="_1584556757" r:id="rId32"/>
        </w:object>
      </w:r>
      <w:r w:rsidRPr="005A4F32">
        <w:rPr>
          <w:rFonts w:eastAsia="Times New Roman"/>
        </w:rPr>
        <w:t xml:space="preserve">, </w:t>
      </w:r>
      <w:r w:rsidRPr="005A4F32">
        <w:rPr>
          <w:rFonts w:eastAsia="Times New Roman"/>
          <w:position w:val="-10"/>
        </w:rPr>
        <w:object w:dxaOrig="360" w:dyaOrig="340" w14:anchorId="6B19F635">
          <v:shape id="_x0000_i1035" type="#_x0000_t75" style="width:18pt;height:17pt" o:ole="">
            <v:imagedata r:id="rId33" o:title=""/>
          </v:shape>
          <o:OLEObject Type="Embed" ProgID="Equation.3" ShapeID="_x0000_i1035" DrawAspect="Content" ObjectID="_1584556758" r:id="rId34"/>
        </w:object>
      </w:r>
      <w:r w:rsidRPr="005A4F32">
        <w:rPr>
          <w:rFonts w:eastAsia="Times New Roman" w:hint="eastAsia"/>
          <w:lang w:eastAsia="zh-CN"/>
        </w:rPr>
        <w:t xml:space="preserve"> is the linear value</w:t>
      </w:r>
      <w:r w:rsidRPr="005A4F32">
        <w:rPr>
          <w:rFonts w:eastAsia="Times New Roman"/>
          <w:lang w:eastAsia="ja-JP"/>
        </w:rPr>
        <w:t xml:space="preserve"> of </w:t>
      </w:r>
      <w:r w:rsidRPr="005A4F32">
        <w:rPr>
          <w:rFonts w:eastAsia="Times New Roman"/>
          <w:position w:val="-10"/>
        </w:rPr>
        <w:object w:dxaOrig="360" w:dyaOrig="300" w14:anchorId="5E073E99">
          <v:shape id="_x0000_i1036" type="#_x0000_t75" style="width:18pt;height:15pt" o:ole="">
            <v:imagedata r:id="rId20" o:title=""/>
          </v:shape>
          <o:OLEObject Type="Embed" ProgID="Equation.3" ShapeID="_x0000_i1036" DrawAspect="Content" ObjectID="_1584556759" r:id="rId35"/>
        </w:object>
      </w:r>
      <w:r w:rsidRPr="005A4F32">
        <w:rPr>
          <w:rFonts w:eastAsia="Times New Roman"/>
        </w:rPr>
        <w:t>, and</w:t>
      </w:r>
      <w:r w:rsidRPr="005A4F32">
        <w:rPr>
          <w:rFonts w:eastAsia="Times New Roman" w:hint="eastAsia"/>
          <w:lang w:eastAsia="zh-CN"/>
        </w:rPr>
        <w:t xml:space="preserve"> </w:t>
      </w:r>
      <w:r w:rsidRPr="005A4F32">
        <w:rPr>
          <w:rFonts w:eastAsia="Times New Roman"/>
          <w:position w:val="-10"/>
        </w:rPr>
        <w:object w:dxaOrig="600" w:dyaOrig="340" w14:anchorId="56F94A6C">
          <v:shape id="_x0000_i1037" type="#_x0000_t75" style="width:30.05pt;height:17.05pt" o:ole="">
            <v:imagedata r:id="rId36" o:title=""/>
          </v:shape>
          <o:OLEObject Type="Embed" ProgID="Equation.3" ShapeID="_x0000_i1037" DrawAspect="Content" ObjectID="_1584556760" r:id="rId37"/>
        </w:object>
      </w:r>
      <w:r w:rsidRPr="005A4F32">
        <w:rPr>
          <w:rFonts w:eastAsia="Times New Roman"/>
        </w:rPr>
        <w:t xml:space="preserve"> </w:t>
      </w:r>
      <w:r w:rsidRPr="005A4F32">
        <w:rPr>
          <w:rFonts w:eastAsia="Times New Roman" w:hint="eastAsia"/>
          <w:lang w:eastAsia="zh-CN"/>
        </w:rPr>
        <w:t xml:space="preserve">is the linear value of </w:t>
      </w:r>
      <w:r w:rsidRPr="005A4F32">
        <w:rPr>
          <w:rFonts w:eastAsia="Times New Roman"/>
          <w:lang w:val="en-US" w:eastAsia="zh-CN"/>
        </w:rPr>
        <w:t>a</w:t>
      </w:r>
      <w:r w:rsidRPr="005A4F32">
        <w:rPr>
          <w:rFonts w:eastAsia="Times New Roman" w:hint="eastAsia"/>
          <w:lang w:eastAsia="zh-CN"/>
        </w:rPr>
        <w:t xml:space="preserve"> </w:t>
      </w:r>
      <w:r w:rsidRPr="005A4F32">
        <w:rPr>
          <w:rFonts w:eastAsia="Times New Roman"/>
        </w:rPr>
        <w:t xml:space="preserve">configured </w:t>
      </w:r>
      <w:r w:rsidRPr="005A4F32">
        <w:rPr>
          <w:rFonts w:eastAsia="Times New Roman" w:hint="eastAsia"/>
          <w:lang w:eastAsia="zh-CN"/>
        </w:rPr>
        <w:t xml:space="preserve">maximum </w:t>
      </w:r>
      <w:r w:rsidRPr="005A4F32">
        <w:rPr>
          <w:rFonts w:eastAsia="Times New Roman"/>
          <w:lang w:val="en-US" w:eastAsia="zh-CN"/>
        </w:rPr>
        <w:t>transmission</w:t>
      </w:r>
      <w:r w:rsidRPr="005A4F32">
        <w:rPr>
          <w:rFonts w:eastAsia="Times New Roman"/>
        </w:rPr>
        <w:t xml:space="preserve"> power </w:t>
      </w:r>
      <w:r w:rsidRPr="005A4F32">
        <w:rPr>
          <w:rFonts w:eastAsia="Times New Roman"/>
          <w:lang w:val="en-US"/>
        </w:rPr>
        <w:t xml:space="preserve">for EN-DC operation </w:t>
      </w:r>
      <w:r w:rsidRPr="005A4F32">
        <w:rPr>
          <w:rFonts w:eastAsia="Times New Roman"/>
        </w:rPr>
        <w:t xml:space="preserve">as </w:t>
      </w:r>
      <w:r w:rsidRPr="005A4F32">
        <w:rPr>
          <w:rFonts w:eastAsia="Times New Roman"/>
          <w:iCs/>
        </w:rPr>
        <w:t xml:space="preserve">defined in </w:t>
      </w:r>
      <w:r w:rsidRPr="005A4F32">
        <w:rPr>
          <w:rFonts w:eastAsia="Times New Roman"/>
        </w:rPr>
        <w:t xml:space="preserve">[8-3, TS 38.101-3] for frequency range 1, </w:t>
      </w:r>
      <w:r w:rsidRPr="005A4F32">
        <w:rPr>
          <w:rFonts w:eastAsia="Times New Roman"/>
          <w:lang w:eastAsia="ja-JP"/>
        </w:rPr>
        <w:t>the UE determines a transmission power on the SCG as follows.</w:t>
      </w:r>
    </w:p>
    <w:p w14:paraId="3011CCF2" w14:textId="77777777" w:rsidR="005A4F32" w:rsidRPr="005A4F32" w:rsidRDefault="005A4F32" w:rsidP="005A4F32">
      <w:pPr>
        <w:numPr>
          <w:ilvl w:val="0"/>
          <w:numId w:val="14"/>
        </w:numPr>
        <w:overflowPunct/>
        <w:autoSpaceDE/>
        <w:autoSpaceDN/>
        <w:adjustRightInd/>
        <w:textAlignment w:val="auto"/>
        <w:rPr>
          <w:rFonts w:eastAsia="Times New Roman"/>
          <w:lang w:val="en-US"/>
        </w:rPr>
      </w:pPr>
      <w:r w:rsidRPr="005A4F32">
        <w:rPr>
          <w:rFonts w:eastAsia="Times New Roman"/>
          <w:lang w:val="x-none" w:eastAsia="ja-JP"/>
        </w:rPr>
        <w:t xml:space="preserve">If the UE </w:t>
      </w:r>
      <w:r w:rsidRPr="005A4F32">
        <w:rPr>
          <w:rFonts w:eastAsia="Times New Roman"/>
          <w:lang w:val="en-US" w:eastAsia="ja-JP"/>
        </w:rPr>
        <w:t xml:space="preserve">is </w:t>
      </w:r>
      <w:r w:rsidRPr="005A4F32">
        <w:rPr>
          <w:rFonts w:eastAsia="Times New Roman" w:hint="eastAsia"/>
          <w:lang w:val="x-none" w:eastAsia="zh-CN"/>
        </w:rPr>
        <w:t>configured</w:t>
      </w:r>
      <w:r w:rsidRPr="005A4F32">
        <w:rPr>
          <w:rFonts w:eastAsia="Times New Roman"/>
          <w:lang w:val="x-none"/>
        </w:rPr>
        <w:t xml:space="preserve"> </w:t>
      </w:r>
      <w:r w:rsidRPr="005A4F32">
        <w:rPr>
          <w:rFonts w:eastAsia="Times New Roman" w:hint="eastAsia"/>
          <w:lang w:val="x-none" w:eastAsia="zh-CN"/>
        </w:rPr>
        <w:t xml:space="preserve">with </w:t>
      </w:r>
      <w:r w:rsidRPr="005A4F32">
        <w:rPr>
          <w:rFonts w:eastAsia="Times New Roman"/>
          <w:lang w:val="x-none"/>
        </w:rPr>
        <w:t>reference TDD configuration</w:t>
      </w:r>
      <w:r w:rsidRPr="005A4F32">
        <w:rPr>
          <w:rFonts w:eastAsia="Times New Roman" w:hint="eastAsia"/>
          <w:lang w:val="x-none" w:eastAsia="zh-CN"/>
        </w:rPr>
        <w:t xml:space="preserve"> </w:t>
      </w:r>
      <w:r w:rsidRPr="005A4F32">
        <w:rPr>
          <w:rFonts w:eastAsia="Times New Roman"/>
          <w:lang w:val="en-US" w:eastAsia="zh-CN"/>
        </w:rPr>
        <w:t xml:space="preserve">for EUTRA (by higher layer parameter </w:t>
      </w:r>
      <w:r w:rsidRPr="005A4F32">
        <w:rPr>
          <w:rFonts w:eastAsia="Times New Roman"/>
          <w:i/>
          <w:lang w:val="en-US" w:eastAsia="zh-CN"/>
        </w:rPr>
        <w:t>SUO-case1</w:t>
      </w:r>
      <w:r w:rsidRPr="005A4F32">
        <w:rPr>
          <w:rFonts w:eastAsia="Times New Roman" w:hint="eastAsia"/>
          <w:lang w:val="en-US" w:eastAsia="zh-CN"/>
        </w:rPr>
        <w:t xml:space="preserve"> </w:t>
      </w:r>
      <w:r w:rsidRPr="005A4F32">
        <w:rPr>
          <w:rFonts w:eastAsia="Times New Roman"/>
          <w:lang w:val="en-US" w:eastAsia="zh-CN"/>
        </w:rPr>
        <w:t xml:space="preserve">in </w:t>
      </w:r>
      <w:r w:rsidRPr="005A4F32">
        <w:rPr>
          <w:rFonts w:eastAsia="Times New Roman" w:hint="eastAsia"/>
          <w:lang w:val="x-none" w:eastAsia="zh-CN"/>
        </w:rPr>
        <w:t>[13, TS</w:t>
      </w:r>
      <w:r w:rsidRPr="005A4F32">
        <w:rPr>
          <w:rFonts w:eastAsia="Times New Roman"/>
          <w:lang w:val="x-none" w:eastAsia="zh-CN"/>
        </w:rPr>
        <w:t xml:space="preserve"> </w:t>
      </w:r>
      <w:r w:rsidRPr="005A4F32">
        <w:rPr>
          <w:rFonts w:eastAsia="Times New Roman" w:hint="eastAsia"/>
          <w:lang w:val="x-none" w:eastAsia="zh-CN"/>
        </w:rPr>
        <w:t>36.213]</w:t>
      </w:r>
      <w:r w:rsidRPr="005A4F32">
        <w:rPr>
          <w:rFonts w:eastAsia="Times New Roman"/>
          <w:lang w:val="en-US" w:eastAsia="zh-CN"/>
        </w:rPr>
        <w:t>)</w:t>
      </w:r>
    </w:p>
    <w:p w14:paraId="35F031E3" w14:textId="77777777" w:rsidR="005A4F32" w:rsidRPr="005A4F32" w:rsidRDefault="005A4F32" w:rsidP="005A4F32">
      <w:pPr>
        <w:numPr>
          <w:ilvl w:val="1"/>
          <w:numId w:val="14"/>
        </w:numPr>
        <w:overflowPunct/>
        <w:autoSpaceDE/>
        <w:autoSpaceDN/>
        <w:adjustRightInd/>
        <w:textAlignment w:val="auto"/>
        <w:rPr>
          <w:rFonts w:eastAsia="Times New Roman"/>
          <w:lang w:val="en-US"/>
        </w:rPr>
      </w:pPr>
      <w:r w:rsidRPr="005A4F32">
        <w:rPr>
          <w:rFonts w:eastAsia="Times New Roman"/>
          <w:lang w:val="en-US"/>
        </w:rPr>
        <w:t xml:space="preserve">If the UE does </w:t>
      </w:r>
      <w:r w:rsidRPr="005A4F32">
        <w:rPr>
          <w:rFonts w:eastAsia="Times New Roman"/>
          <w:lang w:val="x-none" w:eastAsia="ja-JP"/>
        </w:rPr>
        <w:t>not indicate a capability for dynamic power sharing</w:t>
      </w:r>
      <w:r w:rsidRPr="005A4F32">
        <w:rPr>
          <w:rFonts w:eastAsia="Times New Roman"/>
          <w:lang w:val="en-US" w:eastAsia="ja-JP"/>
        </w:rPr>
        <w:t xml:space="preserve"> between EUTRA and NR, </w:t>
      </w:r>
      <w:r w:rsidRPr="005A4F32">
        <w:rPr>
          <w:rFonts w:eastAsia="Times New Roman"/>
          <w:lang w:val="en-US"/>
        </w:rPr>
        <w:t>t</w:t>
      </w:r>
      <w:r w:rsidRPr="005A4F32">
        <w:rPr>
          <w:rFonts w:eastAsia="Times New Roman"/>
          <w:lang w:val="x-none"/>
        </w:rPr>
        <w:t xml:space="preserve">he UE </w:t>
      </w:r>
      <w:r w:rsidRPr="005A4F32">
        <w:rPr>
          <w:rFonts w:eastAsia="Times New Roman" w:hint="eastAsia"/>
          <w:lang w:val="x-none" w:eastAsia="zh-CN"/>
        </w:rPr>
        <w:t>is not expected to transmit</w:t>
      </w:r>
      <w:r w:rsidRPr="005A4F32">
        <w:rPr>
          <w:rFonts w:eastAsia="Times New Roman"/>
          <w:lang w:val="x-none"/>
        </w:rPr>
        <w:t xml:space="preserve"> in a slot on the SCG </w:t>
      </w:r>
      <w:r w:rsidRPr="005A4F32">
        <w:rPr>
          <w:rFonts w:eastAsia="Times New Roman"/>
          <w:lang w:val="en-US"/>
        </w:rPr>
        <w:t>when</w:t>
      </w:r>
      <w:r w:rsidRPr="005A4F32">
        <w:rPr>
          <w:rFonts w:eastAsia="Times New Roman"/>
          <w:lang w:val="x-none"/>
        </w:rPr>
        <w:t xml:space="preserve"> a corresponding subframe on the MCG </w:t>
      </w:r>
      <w:r w:rsidRPr="005A4F32">
        <w:rPr>
          <w:rFonts w:eastAsia="Times New Roman" w:hint="eastAsia"/>
          <w:lang w:val="x-none" w:eastAsia="zh-CN"/>
        </w:rPr>
        <w:t>is an</w:t>
      </w:r>
      <w:r w:rsidRPr="005A4F32">
        <w:rPr>
          <w:rFonts w:eastAsia="Times New Roman"/>
          <w:lang w:val="x-none"/>
        </w:rPr>
        <w:t xml:space="preserve"> UL </w:t>
      </w:r>
      <w:r w:rsidRPr="005A4F32">
        <w:rPr>
          <w:rFonts w:eastAsia="Times New Roman" w:hint="eastAsia"/>
          <w:lang w:val="x-none" w:eastAsia="zh-CN"/>
        </w:rPr>
        <w:t xml:space="preserve">subframe </w:t>
      </w:r>
      <w:r w:rsidRPr="005A4F32">
        <w:rPr>
          <w:rFonts w:eastAsia="Times New Roman"/>
          <w:lang w:val="x-none"/>
        </w:rPr>
        <w:t>in the reference TDD configuration.</w:t>
      </w:r>
    </w:p>
    <w:p w14:paraId="5AB6A05D" w14:textId="77777777" w:rsidR="005A4F32" w:rsidRPr="005A4F32" w:rsidRDefault="005A4F32" w:rsidP="005A4F32">
      <w:pPr>
        <w:numPr>
          <w:ilvl w:val="0"/>
          <w:numId w:val="14"/>
        </w:numPr>
        <w:overflowPunct/>
        <w:autoSpaceDE/>
        <w:autoSpaceDN/>
        <w:adjustRightInd/>
        <w:textAlignment w:val="auto"/>
        <w:rPr>
          <w:rFonts w:eastAsia="Times New Roman"/>
          <w:lang w:val="en-US"/>
        </w:rPr>
      </w:pPr>
      <w:r w:rsidRPr="005A4F32">
        <w:rPr>
          <w:rFonts w:eastAsia="Times New Roman"/>
          <w:lang w:val="x-none" w:eastAsia="ja-JP"/>
        </w:rPr>
        <w:t>If the UE indicate</w:t>
      </w:r>
      <w:r w:rsidRPr="005A4F32">
        <w:rPr>
          <w:rFonts w:eastAsia="Times New Roman"/>
          <w:lang w:val="en-US" w:eastAsia="ja-JP"/>
        </w:rPr>
        <w:t>s</w:t>
      </w:r>
      <w:r w:rsidRPr="005A4F32">
        <w:rPr>
          <w:rFonts w:eastAsia="Times New Roman"/>
          <w:lang w:val="x-none" w:eastAsia="ja-JP"/>
        </w:rPr>
        <w:t xml:space="preserve"> a capability for dynamic power sharing</w:t>
      </w:r>
      <w:r w:rsidRPr="005A4F32">
        <w:rPr>
          <w:rFonts w:eastAsia="Times New Roman"/>
          <w:lang w:val="en-US" w:eastAsia="ja-JP"/>
        </w:rPr>
        <w:t xml:space="preserve"> between EUTRA and NR and</w:t>
      </w:r>
    </w:p>
    <w:p w14:paraId="2B32F3E4" w14:textId="77777777" w:rsidR="005A4F32" w:rsidRPr="005A4F32" w:rsidRDefault="005A4F32" w:rsidP="005A4F32">
      <w:pPr>
        <w:numPr>
          <w:ilvl w:val="1"/>
          <w:numId w:val="14"/>
        </w:numPr>
        <w:overflowPunct/>
        <w:autoSpaceDE/>
        <w:autoSpaceDN/>
        <w:adjustRightInd/>
        <w:textAlignment w:val="auto"/>
        <w:rPr>
          <w:rFonts w:eastAsia="Times New Roman"/>
          <w:lang w:val="en-US"/>
        </w:rPr>
      </w:pPr>
      <w:r w:rsidRPr="005A4F32">
        <w:rPr>
          <w:rFonts w:eastAsia="Times New Roman"/>
          <w:lang w:val="en-US"/>
        </w:rPr>
        <w:t>if</w:t>
      </w:r>
      <w:r w:rsidRPr="005A4F32">
        <w:rPr>
          <w:rFonts w:eastAsia="Times New Roman"/>
          <w:lang w:val="x-none"/>
        </w:rPr>
        <w:t xml:space="preserve"> the UE is not configured for operation with shortened TTI and processing time on the MCG [13, TS 36.213]</w:t>
      </w:r>
      <w:r w:rsidRPr="005A4F32">
        <w:rPr>
          <w:rFonts w:eastAsia="Times New Roman"/>
          <w:lang w:val="en-US"/>
        </w:rPr>
        <w:t xml:space="preserve">, and </w:t>
      </w:r>
    </w:p>
    <w:p w14:paraId="5CC33F14" w14:textId="77777777" w:rsidR="005A4F32" w:rsidRPr="005A4F32" w:rsidRDefault="005A4F32" w:rsidP="005A4F32">
      <w:pPr>
        <w:numPr>
          <w:ilvl w:val="1"/>
          <w:numId w:val="14"/>
        </w:numPr>
        <w:overflowPunct/>
        <w:autoSpaceDE/>
        <w:autoSpaceDN/>
        <w:adjustRightInd/>
        <w:textAlignment w:val="auto"/>
        <w:rPr>
          <w:rFonts w:eastAsia="Times New Roman"/>
          <w:lang w:val="en-US"/>
        </w:rPr>
      </w:pPr>
      <w:r w:rsidRPr="005A4F32">
        <w:rPr>
          <w:rFonts w:eastAsia="Times New Roman"/>
          <w:lang w:val="en-US"/>
        </w:rPr>
        <w:t xml:space="preserve">if the UE transmission(s) in subframe </w:t>
      </w:r>
      <w:r w:rsidRPr="005A4F32">
        <w:rPr>
          <w:rFonts w:eastAsia="Times New Roman"/>
          <w:position w:val="-10"/>
          <w:lang w:val="x-none"/>
        </w:rPr>
        <w:object w:dxaOrig="160" w:dyaOrig="300" w14:anchorId="34A8FF15">
          <v:shape id="_x0000_i1038" type="#_x0000_t75" style="width:8pt;height:15.05pt" o:ole="">
            <v:imagedata r:id="rId38" o:title=""/>
          </v:shape>
          <o:OLEObject Type="Embed" ProgID="Equation.3" ShapeID="_x0000_i1038" DrawAspect="Content" ObjectID="_1584556761" r:id="rId39"/>
        </w:object>
      </w:r>
      <w:r w:rsidRPr="005A4F32">
        <w:rPr>
          <w:rFonts w:eastAsia="Times New Roman" w:hint="eastAsia"/>
          <w:lang w:val="x-none" w:eastAsia="zh-CN"/>
        </w:rPr>
        <w:t xml:space="preserve"> </w:t>
      </w:r>
      <w:r w:rsidRPr="005A4F32">
        <w:rPr>
          <w:rFonts w:eastAsia="Times New Roman"/>
          <w:lang w:val="en-US" w:eastAsia="zh-CN"/>
        </w:rPr>
        <w:t xml:space="preserve">of the MCG overlap in time with UE transmission(s) in slot </w:t>
      </w:r>
      <w:r w:rsidRPr="005A4F32">
        <w:rPr>
          <w:rFonts w:eastAsia="Times New Roman"/>
          <w:position w:val="-10"/>
          <w:lang w:val="x-none"/>
        </w:rPr>
        <w:object w:dxaOrig="180" w:dyaOrig="300" w14:anchorId="524E870B">
          <v:shape id="_x0000_i1039" type="#_x0000_t75" style="width:9.4pt;height:15.05pt" o:ole="">
            <v:imagedata r:id="rId40" o:title=""/>
          </v:shape>
          <o:OLEObject Type="Embed" ProgID="Equation.3" ShapeID="_x0000_i1039" DrawAspect="Content" ObjectID="_1584556762" r:id="rId41"/>
        </w:object>
      </w:r>
      <w:r w:rsidRPr="005A4F32">
        <w:rPr>
          <w:rFonts w:eastAsia="Times New Roman"/>
          <w:lang w:val="en-US"/>
        </w:rPr>
        <w:t xml:space="preserve"> of the SCG, and</w:t>
      </w:r>
    </w:p>
    <w:p w14:paraId="4957C685" w14:textId="77777777" w:rsidR="005A4F32" w:rsidRPr="005A4F32" w:rsidRDefault="005A4F32" w:rsidP="005A4F32">
      <w:pPr>
        <w:numPr>
          <w:ilvl w:val="1"/>
          <w:numId w:val="14"/>
        </w:numPr>
        <w:overflowPunct/>
        <w:autoSpaceDE/>
        <w:autoSpaceDN/>
        <w:adjustRightInd/>
        <w:textAlignment w:val="auto"/>
        <w:rPr>
          <w:rFonts w:eastAsia="Times New Roman"/>
          <w:lang w:val="en-US"/>
        </w:rPr>
      </w:pPr>
      <w:r w:rsidRPr="005A4F32">
        <w:rPr>
          <w:rFonts w:eastAsia="Times New Roman"/>
          <w:lang w:val="en-US"/>
        </w:rPr>
        <w:t xml:space="preserve">if </w:t>
      </w:r>
      <w:r w:rsidRPr="005A4F32">
        <w:rPr>
          <w:rFonts w:eastAsia="Times New Roman"/>
          <w:position w:val="-10"/>
          <w:lang w:val="x-none"/>
        </w:rPr>
        <w:object w:dxaOrig="2240" w:dyaOrig="340" w14:anchorId="299F969A">
          <v:shape id="_x0000_i1040" type="#_x0000_t75" style="width:112.1pt;height:17.05pt" o:ole="">
            <v:imagedata r:id="rId42" o:title=""/>
          </v:shape>
          <o:OLEObject Type="Embed" ProgID="Equation.3" ShapeID="_x0000_i1040" DrawAspect="Content" ObjectID="_1584556763" r:id="rId43"/>
        </w:object>
      </w:r>
      <w:r w:rsidRPr="005A4F32">
        <w:rPr>
          <w:rFonts w:eastAsia="Times New Roman"/>
          <w:lang w:val="en-US"/>
        </w:rPr>
        <w:t xml:space="preserve"> in a portion of </w:t>
      </w:r>
      <w:r w:rsidRPr="005A4F32">
        <w:rPr>
          <w:rFonts w:eastAsia="Times New Roman"/>
          <w:lang w:val="en-US" w:eastAsia="zh-CN"/>
        </w:rPr>
        <w:t xml:space="preserve">slot </w:t>
      </w:r>
      <w:r w:rsidRPr="005A4F32">
        <w:rPr>
          <w:rFonts w:eastAsia="Times New Roman"/>
          <w:position w:val="-10"/>
          <w:lang w:val="x-none"/>
        </w:rPr>
        <w:object w:dxaOrig="180" w:dyaOrig="300" w14:anchorId="6A61511C">
          <v:shape id="_x0000_i1041" type="#_x0000_t75" style="width:9.4pt;height:15.05pt" o:ole="">
            <v:imagedata r:id="rId40" o:title=""/>
          </v:shape>
          <o:OLEObject Type="Embed" ProgID="Equation.3" ShapeID="_x0000_i1041" DrawAspect="Content" ObjectID="_1584556764" r:id="rId44"/>
        </w:object>
      </w:r>
      <w:r w:rsidRPr="005A4F32">
        <w:rPr>
          <w:rFonts w:eastAsia="Times New Roman"/>
          <w:lang w:val="en-US"/>
        </w:rPr>
        <w:t xml:space="preserve"> of the SCG</w:t>
      </w:r>
      <w:r w:rsidRPr="005A4F32">
        <w:rPr>
          <w:rFonts w:eastAsia="Times New Roman" w:hint="eastAsia"/>
          <w:lang w:val="x-none" w:eastAsia="zh-CN"/>
        </w:rPr>
        <w:t xml:space="preserve">, </w:t>
      </w:r>
    </w:p>
    <w:p w14:paraId="4767B781" w14:textId="77777777" w:rsidR="005A4F32" w:rsidRPr="005A4F32" w:rsidRDefault="005A4F32" w:rsidP="005A4F32">
      <w:pPr>
        <w:overflowPunct/>
        <w:autoSpaceDE/>
        <w:autoSpaceDN/>
        <w:adjustRightInd/>
        <w:ind w:left="630"/>
        <w:textAlignment w:val="auto"/>
        <w:rPr>
          <w:rFonts w:eastAsia="Times New Roman"/>
          <w:lang w:val="en-US"/>
        </w:rPr>
      </w:pPr>
      <w:r w:rsidRPr="005A4F32">
        <w:rPr>
          <w:rFonts w:eastAsia="Times New Roman"/>
          <w:lang w:val="x-none"/>
        </w:rPr>
        <w:t xml:space="preserve">the UE </w:t>
      </w:r>
      <w:r w:rsidRPr="005A4F32">
        <w:rPr>
          <w:rFonts w:eastAsia="Times New Roman"/>
          <w:lang w:val="x-none" w:eastAsia="zh-CN"/>
        </w:rPr>
        <w:t>reduces</w:t>
      </w:r>
      <w:r w:rsidRPr="005A4F32">
        <w:rPr>
          <w:rFonts w:eastAsia="Times New Roman" w:hint="eastAsia"/>
          <w:lang w:val="x-none" w:eastAsia="zh-CN"/>
        </w:rPr>
        <w:t xml:space="preserve"> </w:t>
      </w:r>
      <w:r w:rsidRPr="005A4F32">
        <w:rPr>
          <w:rFonts w:eastAsia="Times New Roman"/>
          <w:lang w:val="en-US" w:eastAsia="zh-CN"/>
        </w:rPr>
        <w:t>transmission power</w:t>
      </w:r>
      <w:r w:rsidRPr="005A4F32" w:rsidDel="001A0D35">
        <w:rPr>
          <w:rFonts w:eastAsia="Times New Roman"/>
          <w:lang w:val="x-none"/>
        </w:rPr>
        <w:t xml:space="preserve"> </w:t>
      </w:r>
      <w:r w:rsidRPr="005A4F32">
        <w:rPr>
          <w:rFonts w:eastAsia="Times New Roman"/>
          <w:lang w:val="en-US" w:eastAsia="zh-CN"/>
        </w:rPr>
        <w:t xml:space="preserve">in the </w:t>
      </w:r>
      <w:r w:rsidRPr="005A4F32">
        <w:rPr>
          <w:rFonts w:eastAsia="Times New Roman"/>
          <w:lang w:val="en-US"/>
        </w:rPr>
        <w:t xml:space="preserve">portion of </w:t>
      </w:r>
      <w:r w:rsidRPr="005A4F32">
        <w:rPr>
          <w:rFonts w:eastAsia="Times New Roman"/>
          <w:lang w:val="en-US" w:eastAsia="zh-CN"/>
        </w:rPr>
        <w:t xml:space="preserve">slot </w:t>
      </w:r>
      <w:r w:rsidRPr="005A4F32">
        <w:rPr>
          <w:rFonts w:eastAsia="Times New Roman"/>
          <w:position w:val="-10"/>
          <w:lang w:val="x-none"/>
        </w:rPr>
        <w:object w:dxaOrig="180" w:dyaOrig="300" w14:anchorId="32717DBC">
          <v:shape id="_x0000_i1042" type="#_x0000_t75" style="width:9.4pt;height:15.05pt" o:ole="">
            <v:imagedata r:id="rId40" o:title=""/>
          </v:shape>
          <o:OLEObject Type="Embed" ProgID="Equation.3" ShapeID="_x0000_i1042" DrawAspect="Content" ObjectID="_1584556765" r:id="rId45"/>
        </w:object>
      </w:r>
      <w:r w:rsidRPr="005A4F32">
        <w:rPr>
          <w:rFonts w:eastAsia="Times New Roman"/>
          <w:lang w:val="en-US"/>
        </w:rPr>
        <w:t xml:space="preserve"> </w:t>
      </w:r>
      <w:r w:rsidRPr="005A4F32">
        <w:rPr>
          <w:rFonts w:eastAsia="Times New Roman" w:hint="eastAsia"/>
          <w:lang w:val="x-none" w:eastAsia="zh-CN"/>
        </w:rPr>
        <w:t>o</w:t>
      </w:r>
      <w:r w:rsidRPr="005A4F32">
        <w:rPr>
          <w:rFonts w:eastAsia="Times New Roman"/>
          <w:lang w:val="en-US" w:eastAsia="zh-CN"/>
        </w:rPr>
        <w:t>f</w:t>
      </w:r>
      <w:r w:rsidRPr="005A4F32">
        <w:rPr>
          <w:rFonts w:eastAsia="Times New Roman" w:hint="eastAsia"/>
          <w:lang w:val="x-none" w:eastAsia="zh-CN"/>
        </w:rPr>
        <w:t xml:space="preserve"> the SCG so that </w:t>
      </w:r>
      <w:r w:rsidRPr="005A4F32">
        <w:rPr>
          <w:rFonts w:eastAsia="Times New Roman"/>
          <w:position w:val="-10"/>
          <w:lang w:val="x-none"/>
        </w:rPr>
        <w:object w:dxaOrig="2200" w:dyaOrig="340" w14:anchorId="46F1519D">
          <v:shape id="_x0000_i1043" type="#_x0000_t75" style="width:110.1pt;height:17.05pt" o:ole="">
            <v:imagedata r:id="rId46" o:title=""/>
          </v:shape>
          <o:OLEObject Type="Embed" ProgID="Equation.3" ShapeID="_x0000_i1043" DrawAspect="Content" ObjectID="_1584556766" r:id="rId47"/>
        </w:object>
      </w:r>
      <w:r w:rsidRPr="005A4F32">
        <w:rPr>
          <w:rFonts w:eastAsia="Times New Roman"/>
          <w:lang w:val="en-US"/>
        </w:rPr>
        <w:t xml:space="preserve"> in any portion of </w:t>
      </w:r>
      <w:r w:rsidRPr="005A4F32">
        <w:rPr>
          <w:rFonts w:eastAsia="Times New Roman"/>
          <w:lang w:val="en-US" w:eastAsia="zh-CN"/>
        </w:rPr>
        <w:t xml:space="preserve">slot </w:t>
      </w:r>
      <w:r w:rsidRPr="005A4F32">
        <w:rPr>
          <w:rFonts w:eastAsia="Times New Roman"/>
          <w:position w:val="-10"/>
          <w:lang w:val="x-none"/>
        </w:rPr>
        <w:object w:dxaOrig="180" w:dyaOrig="300" w14:anchorId="32D4D658">
          <v:shape id="_x0000_i1044" type="#_x0000_t75" style="width:9.4pt;height:15.05pt" o:ole="">
            <v:imagedata r:id="rId40" o:title=""/>
          </v:shape>
          <o:OLEObject Type="Embed" ProgID="Equation.3" ShapeID="_x0000_i1044" DrawAspect="Content" ObjectID="_1584556767" r:id="rId48"/>
        </w:object>
      </w:r>
      <w:r w:rsidRPr="005A4F32">
        <w:rPr>
          <w:rFonts w:eastAsia="Times New Roman"/>
          <w:lang w:val="en-US"/>
        </w:rPr>
        <w:t>,</w:t>
      </w:r>
      <w:r w:rsidRPr="005A4F32">
        <w:rPr>
          <w:rFonts w:eastAsia="Times New Roman" w:hint="eastAsia"/>
          <w:lang w:val="x-none" w:eastAsia="zh-CN"/>
        </w:rPr>
        <w:t xml:space="preserve"> where </w:t>
      </w:r>
      <w:r w:rsidRPr="005A4F32">
        <w:rPr>
          <w:rFonts w:eastAsia="Times New Roman"/>
          <w:position w:val="-10"/>
          <w:lang w:val="x-none"/>
        </w:rPr>
        <w:object w:dxaOrig="700" w:dyaOrig="340" w14:anchorId="2A2FAD6F">
          <v:shape id="_x0000_i1045" type="#_x0000_t75" style="width:35.3pt;height:16.9pt" o:ole="">
            <v:imagedata r:id="rId49" o:title=""/>
          </v:shape>
          <o:OLEObject Type="Embed" ProgID="Equation.3" ShapeID="_x0000_i1045" DrawAspect="Content" ObjectID="_1584556768" r:id="rId50"/>
        </w:object>
      </w:r>
      <w:r w:rsidRPr="005A4F32">
        <w:rPr>
          <w:rFonts w:eastAsia="Times New Roman"/>
          <w:lang w:val="x-none"/>
        </w:rPr>
        <w:t xml:space="preserve"> and </w:t>
      </w:r>
      <w:r w:rsidRPr="005A4F32">
        <w:rPr>
          <w:rFonts w:eastAsia="Times New Roman"/>
          <w:position w:val="-10"/>
          <w:lang w:val="x-none"/>
        </w:rPr>
        <w:object w:dxaOrig="680" w:dyaOrig="340" w14:anchorId="021D4F66">
          <v:shape id="_x0000_i1046" type="#_x0000_t75" style="width:34.2pt;height:16.9pt" o:ole="">
            <v:imagedata r:id="rId51" o:title=""/>
          </v:shape>
          <o:OLEObject Type="Embed" ProgID="Equation.3" ShapeID="_x0000_i1046" DrawAspect="Content" ObjectID="_1584556769" r:id="rId52"/>
        </w:object>
      </w:r>
      <w:r w:rsidRPr="005A4F32">
        <w:rPr>
          <w:rFonts w:eastAsia="Times New Roman"/>
          <w:lang w:val="x-none"/>
        </w:rPr>
        <w:t xml:space="preserve"> </w:t>
      </w:r>
      <w:r w:rsidRPr="005A4F32">
        <w:rPr>
          <w:rFonts w:eastAsia="Times New Roman"/>
          <w:lang w:val="en-US"/>
        </w:rPr>
        <w:t xml:space="preserve">are </w:t>
      </w:r>
      <w:r w:rsidRPr="005A4F32">
        <w:rPr>
          <w:rFonts w:eastAsia="Times New Roman"/>
          <w:lang w:val="x-none"/>
        </w:rPr>
        <w:t xml:space="preserve">the linear values of the </w:t>
      </w:r>
      <w:r w:rsidRPr="005A4F32">
        <w:rPr>
          <w:rFonts w:eastAsia="Times New Roman"/>
          <w:lang w:val="en-US"/>
        </w:rPr>
        <w:t xml:space="preserve">total </w:t>
      </w:r>
      <w:r w:rsidRPr="005A4F32">
        <w:rPr>
          <w:rFonts w:eastAsia="Times New Roman"/>
          <w:lang w:val="x-none"/>
        </w:rPr>
        <w:t>UE transmi</w:t>
      </w:r>
      <w:r w:rsidRPr="005A4F32">
        <w:rPr>
          <w:rFonts w:eastAsia="Times New Roman"/>
          <w:lang w:val="en-US"/>
        </w:rPr>
        <w:t>ssion</w:t>
      </w:r>
      <w:r w:rsidRPr="005A4F32">
        <w:rPr>
          <w:rFonts w:eastAsia="Times New Roman"/>
          <w:lang w:val="x-none"/>
        </w:rPr>
        <w:t xml:space="preserve"> power</w:t>
      </w:r>
      <w:r w:rsidRPr="005A4F32">
        <w:rPr>
          <w:rFonts w:eastAsia="Times New Roman" w:hint="eastAsia"/>
          <w:lang w:val="x-none" w:eastAsia="zh-CN"/>
        </w:rPr>
        <w:t>s</w:t>
      </w:r>
      <w:r w:rsidRPr="005A4F32">
        <w:rPr>
          <w:rFonts w:eastAsia="Times New Roman"/>
          <w:lang w:val="x-none"/>
        </w:rPr>
        <w:t xml:space="preserve"> </w:t>
      </w:r>
      <w:r w:rsidRPr="005A4F32">
        <w:rPr>
          <w:rFonts w:eastAsia="Times New Roman"/>
          <w:lang w:val="en-US"/>
        </w:rPr>
        <w:t>in</w:t>
      </w:r>
      <w:r w:rsidRPr="005A4F32">
        <w:rPr>
          <w:rFonts w:eastAsia="Times New Roman" w:hint="eastAsia"/>
          <w:lang w:val="x-none" w:eastAsia="zh-CN"/>
        </w:rPr>
        <w:t xml:space="preserve"> subframe </w:t>
      </w:r>
      <w:r w:rsidRPr="005A4F32">
        <w:rPr>
          <w:rFonts w:eastAsia="Times New Roman"/>
          <w:position w:val="-10"/>
          <w:lang w:val="x-none"/>
        </w:rPr>
        <w:object w:dxaOrig="160" w:dyaOrig="300" w14:anchorId="397BA7E3">
          <v:shape id="_x0000_i1047" type="#_x0000_t75" style="width:8pt;height:15.05pt" o:ole="">
            <v:imagedata r:id="rId38" o:title=""/>
          </v:shape>
          <o:OLEObject Type="Embed" ProgID="Equation.3" ShapeID="_x0000_i1047" DrawAspect="Content" ObjectID="_1584556770" r:id="rId53"/>
        </w:object>
      </w:r>
      <w:r w:rsidRPr="005A4F32">
        <w:rPr>
          <w:rFonts w:eastAsia="Times New Roman" w:hint="eastAsia"/>
          <w:lang w:val="x-none" w:eastAsia="zh-CN"/>
        </w:rPr>
        <w:t xml:space="preserve"> </w:t>
      </w:r>
      <w:r w:rsidRPr="005A4F32">
        <w:rPr>
          <w:rFonts w:eastAsia="Times New Roman"/>
          <w:lang w:val="en-US" w:eastAsia="zh-CN"/>
        </w:rPr>
        <w:t xml:space="preserve">of the MCG </w:t>
      </w:r>
      <w:r w:rsidRPr="005A4F32">
        <w:rPr>
          <w:rFonts w:eastAsia="Times New Roman"/>
          <w:lang w:val="x-none"/>
        </w:rPr>
        <w:t xml:space="preserve">and </w:t>
      </w:r>
      <w:r w:rsidRPr="005A4F32">
        <w:rPr>
          <w:rFonts w:eastAsia="Times New Roman"/>
          <w:lang w:val="en-US"/>
        </w:rPr>
        <w:t>in</w:t>
      </w:r>
      <w:r w:rsidRPr="005A4F32">
        <w:rPr>
          <w:rFonts w:eastAsia="Times New Roman" w:hint="eastAsia"/>
          <w:lang w:val="x-none" w:eastAsia="zh-CN"/>
        </w:rPr>
        <w:t xml:space="preserve"> slot </w:t>
      </w:r>
      <w:r w:rsidRPr="005A4F32">
        <w:rPr>
          <w:rFonts w:eastAsia="Times New Roman"/>
          <w:position w:val="-10"/>
          <w:lang w:val="x-none"/>
        </w:rPr>
        <w:object w:dxaOrig="180" w:dyaOrig="300" w14:anchorId="57E49345">
          <v:shape id="_x0000_i1048" type="#_x0000_t75" style="width:9.4pt;height:15.05pt" o:ole="">
            <v:imagedata r:id="rId40" o:title=""/>
          </v:shape>
          <o:OLEObject Type="Embed" ProgID="Equation.3" ShapeID="_x0000_i1048" DrawAspect="Content" ObjectID="_1584556771" r:id="rId54"/>
        </w:object>
      </w:r>
      <w:r w:rsidRPr="005A4F32">
        <w:rPr>
          <w:rFonts w:eastAsia="Times New Roman"/>
          <w:lang w:val="en-US"/>
        </w:rPr>
        <w:t xml:space="preserve"> of the SCG</w:t>
      </w:r>
      <w:r w:rsidRPr="005A4F32">
        <w:rPr>
          <w:rFonts w:eastAsia="Times New Roman"/>
          <w:lang w:val="x-none"/>
        </w:rPr>
        <w:t>, respectively.</w:t>
      </w:r>
    </w:p>
    <w:p w14:paraId="70F7ABDF" w14:textId="77777777" w:rsidR="005A4F32" w:rsidRPr="005A4F32" w:rsidRDefault="005A4F32" w:rsidP="005A4F32">
      <w:pPr>
        <w:numPr>
          <w:ilvl w:val="0"/>
          <w:numId w:val="14"/>
        </w:numPr>
        <w:overflowPunct/>
        <w:autoSpaceDE/>
        <w:autoSpaceDN/>
        <w:adjustRightInd/>
        <w:textAlignment w:val="auto"/>
        <w:rPr>
          <w:rFonts w:eastAsia="Times New Roman"/>
          <w:lang w:val="en-US"/>
        </w:rPr>
      </w:pPr>
      <w:r w:rsidRPr="005A4F32">
        <w:rPr>
          <w:rFonts w:eastAsia="Times New Roman"/>
          <w:lang w:val="x-none"/>
        </w:rPr>
        <w:t xml:space="preserve">If the UE </w:t>
      </w:r>
      <w:r w:rsidRPr="005A4F32">
        <w:rPr>
          <w:rFonts w:eastAsia="Times New Roman"/>
          <w:lang w:val="en-US"/>
        </w:rPr>
        <w:t xml:space="preserve">does </w:t>
      </w:r>
      <w:r w:rsidRPr="005A4F32">
        <w:rPr>
          <w:rFonts w:eastAsia="Times New Roman"/>
          <w:lang w:val="x-none" w:eastAsia="ja-JP"/>
        </w:rPr>
        <w:t>not indicate a capability for dynamic power sharing</w:t>
      </w:r>
      <w:r w:rsidRPr="005A4F32">
        <w:rPr>
          <w:rFonts w:eastAsia="Times New Roman"/>
          <w:lang w:val="en-US" w:eastAsia="ja-JP"/>
        </w:rPr>
        <w:t xml:space="preserve"> between EUTRA and NR, the UE is expected to be configured </w:t>
      </w:r>
      <w:r w:rsidRPr="005A4F32">
        <w:rPr>
          <w:rFonts w:eastAsia="Times New Roman" w:hint="eastAsia"/>
          <w:lang w:val="x-none" w:eastAsia="zh-CN"/>
        </w:rPr>
        <w:t xml:space="preserve">with </w:t>
      </w:r>
      <w:r w:rsidRPr="005A4F32">
        <w:rPr>
          <w:rFonts w:eastAsia="Times New Roman"/>
          <w:lang w:val="x-none"/>
        </w:rPr>
        <w:t>reference TDD configuration</w:t>
      </w:r>
      <w:r w:rsidRPr="005A4F32">
        <w:rPr>
          <w:rFonts w:eastAsia="Times New Roman" w:hint="eastAsia"/>
          <w:lang w:val="x-none" w:eastAsia="zh-CN"/>
        </w:rPr>
        <w:t xml:space="preserve"> </w:t>
      </w:r>
      <w:r w:rsidRPr="005A4F32">
        <w:rPr>
          <w:rFonts w:eastAsia="Times New Roman"/>
          <w:lang w:val="en-US" w:eastAsia="zh-CN"/>
        </w:rPr>
        <w:t xml:space="preserve">for EUTRA (by higher layer parameter </w:t>
      </w:r>
      <w:r w:rsidRPr="005A4F32">
        <w:rPr>
          <w:rFonts w:eastAsia="Times New Roman"/>
          <w:i/>
          <w:lang w:val="en-US" w:eastAsia="zh-CN"/>
        </w:rPr>
        <w:t>SUO-case1</w:t>
      </w:r>
      <w:r w:rsidRPr="005A4F32">
        <w:rPr>
          <w:rFonts w:eastAsia="Times New Roman" w:hint="eastAsia"/>
          <w:lang w:val="en-US" w:eastAsia="zh-CN"/>
        </w:rPr>
        <w:t xml:space="preserve"> </w:t>
      </w:r>
      <w:r w:rsidRPr="005A4F32">
        <w:rPr>
          <w:rFonts w:eastAsia="Times New Roman"/>
          <w:lang w:val="en-US" w:eastAsia="zh-CN"/>
        </w:rPr>
        <w:t xml:space="preserve">in </w:t>
      </w:r>
      <w:r w:rsidRPr="005A4F32">
        <w:rPr>
          <w:rFonts w:eastAsia="Times New Roman" w:hint="eastAsia"/>
          <w:lang w:val="x-none" w:eastAsia="zh-CN"/>
        </w:rPr>
        <w:t>[13, TS</w:t>
      </w:r>
      <w:r w:rsidRPr="005A4F32">
        <w:rPr>
          <w:rFonts w:eastAsia="Times New Roman"/>
          <w:lang w:val="x-none" w:eastAsia="zh-CN"/>
        </w:rPr>
        <w:t xml:space="preserve"> </w:t>
      </w:r>
      <w:r w:rsidRPr="005A4F32">
        <w:rPr>
          <w:rFonts w:eastAsia="Times New Roman" w:hint="eastAsia"/>
          <w:lang w:val="x-none" w:eastAsia="zh-CN"/>
        </w:rPr>
        <w:t>36.213]</w:t>
      </w:r>
      <w:r w:rsidRPr="005A4F32">
        <w:rPr>
          <w:rFonts w:eastAsia="Times New Roman"/>
          <w:lang w:val="en-US" w:eastAsia="zh-CN"/>
        </w:rPr>
        <w:t>).</w:t>
      </w:r>
      <w:r w:rsidRPr="005A4F32">
        <w:rPr>
          <w:rFonts w:eastAsia="Times New Roman"/>
          <w:lang w:val="x-none"/>
        </w:rPr>
        <w:t xml:space="preserve"> </w:t>
      </w:r>
    </w:p>
    <w:p w14:paraId="070AAC89" w14:textId="77777777" w:rsidR="005A4F32" w:rsidRPr="005A4F32" w:rsidRDefault="005A4F32" w:rsidP="009D4F88">
      <w:pPr>
        <w:rPr>
          <w:lang w:val="en-US"/>
        </w:rPr>
      </w:pPr>
    </w:p>
    <w:sectPr w:rsidR="005A4F32" w:rsidRPr="005A4F3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85D1B" w14:textId="77777777" w:rsidR="008320F3" w:rsidRDefault="008320F3">
      <w:r>
        <w:separator/>
      </w:r>
    </w:p>
  </w:endnote>
  <w:endnote w:type="continuationSeparator" w:id="0">
    <w:p w14:paraId="3F3216A6" w14:textId="77777777" w:rsidR="008320F3" w:rsidRDefault="0083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BAD88" w14:textId="77777777" w:rsidR="008320F3" w:rsidRDefault="008320F3">
      <w:r>
        <w:separator/>
      </w:r>
    </w:p>
  </w:footnote>
  <w:footnote w:type="continuationSeparator" w:id="0">
    <w:p w14:paraId="2004825E" w14:textId="77777777" w:rsidR="008320F3" w:rsidRDefault="00832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0E1E42"/>
    <w:multiLevelType w:val="hybridMultilevel"/>
    <w:tmpl w:val="2200C2D6"/>
    <w:lvl w:ilvl="0" w:tplc="99F870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CE54DC"/>
    <w:multiLevelType w:val="hybridMultilevel"/>
    <w:tmpl w:val="896EAEC8"/>
    <w:lvl w:ilvl="0" w:tplc="CABAC5F2">
      <w:start w:val="1"/>
      <w:numFmt w:val="bullet"/>
      <w:lvlText w:val=""/>
      <w:lvlJc w:val="left"/>
      <w:pPr>
        <w:tabs>
          <w:tab w:val="num" w:pos="720"/>
        </w:tabs>
        <w:ind w:left="720" w:hanging="360"/>
      </w:pPr>
      <w:rPr>
        <w:rFonts w:ascii="Symbol" w:hAnsi="Symbol" w:hint="default"/>
      </w:rPr>
    </w:lvl>
    <w:lvl w:ilvl="1" w:tplc="6DAE2712">
      <w:numFmt w:val="bullet"/>
      <w:lvlText w:val="•"/>
      <w:lvlJc w:val="left"/>
      <w:pPr>
        <w:tabs>
          <w:tab w:val="num" w:pos="1440"/>
        </w:tabs>
        <w:ind w:left="1440" w:hanging="360"/>
      </w:pPr>
      <w:rPr>
        <w:rFonts w:ascii="Arial" w:hAnsi="Arial" w:hint="default"/>
      </w:rPr>
    </w:lvl>
    <w:lvl w:ilvl="2" w:tplc="2E34DFB0" w:tentative="1">
      <w:start w:val="1"/>
      <w:numFmt w:val="bullet"/>
      <w:lvlText w:val=""/>
      <w:lvlJc w:val="left"/>
      <w:pPr>
        <w:tabs>
          <w:tab w:val="num" w:pos="2160"/>
        </w:tabs>
        <w:ind w:left="2160" w:hanging="360"/>
      </w:pPr>
      <w:rPr>
        <w:rFonts w:ascii="Symbol" w:hAnsi="Symbol" w:hint="default"/>
      </w:rPr>
    </w:lvl>
    <w:lvl w:ilvl="3" w:tplc="E104DBE0" w:tentative="1">
      <w:start w:val="1"/>
      <w:numFmt w:val="bullet"/>
      <w:lvlText w:val=""/>
      <w:lvlJc w:val="left"/>
      <w:pPr>
        <w:tabs>
          <w:tab w:val="num" w:pos="2880"/>
        </w:tabs>
        <w:ind w:left="2880" w:hanging="360"/>
      </w:pPr>
      <w:rPr>
        <w:rFonts w:ascii="Symbol" w:hAnsi="Symbol" w:hint="default"/>
      </w:rPr>
    </w:lvl>
    <w:lvl w:ilvl="4" w:tplc="D1E018BA" w:tentative="1">
      <w:start w:val="1"/>
      <w:numFmt w:val="bullet"/>
      <w:lvlText w:val=""/>
      <w:lvlJc w:val="left"/>
      <w:pPr>
        <w:tabs>
          <w:tab w:val="num" w:pos="3600"/>
        </w:tabs>
        <w:ind w:left="3600" w:hanging="360"/>
      </w:pPr>
      <w:rPr>
        <w:rFonts w:ascii="Symbol" w:hAnsi="Symbol" w:hint="default"/>
      </w:rPr>
    </w:lvl>
    <w:lvl w:ilvl="5" w:tplc="E1C28726" w:tentative="1">
      <w:start w:val="1"/>
      <w:numFmt w:val="bullet"/>
      <w:lvlText w:val=""/>
      <w:lvlJc w:val="left"/>
      <w:pPr>
        <w:tabs>
          <w:tab w:val="num" w:pos="4320"/>
        </w:tabs>
        <w:ind w:left="4320" w:hanging="360"/>
      </w:pPr>
      <w:rPr>
        <w:rFonts w:ascii="Symbol" w:hAnsi="Symbol" w:hint="default"/>
      </w:rPr>
    </w:lvl>
    <w:lvl w:ilvl="6" w:tplc="55CCF666" w:tentative="1">
      <w:start w:val="1"/>
      <w:numFmt w:val="bullet"/>
      <w:lvlText w:val=""/>
      <w:lvlJc w:val="left"/>
      <w:pPr>
        <w:tabs>
          <w:tab w:val="num" w:pos="5040"/>
        </w:tabs>
        <w:ind w:left="5040" w:hanging="360"/>
      </w:pPr>
      <w:rPr>
        <w:rFonts w:ascii="Symbol" w:hAnsi="Symbol" w:hint="default"/>
      </w:rPr>
    </w:lvl>
    <w:lvl w:ilvl="7" w:tplc="282A2D2A" w:tentative="1">
      <w:start w:val="1"/>
      <w:numFmt w:val="bullet"/>
      <w:lvlText w:val=""/>
      <w:lvlJc w:val="left"/>
      <w:pPr>
        <w:tabs>
          <w:tab w:val="num" w:pos="5760"/>
        </w:tabs>
        <w:ind w:left="5760" w:hanging="360"/>
      </w:pPr>
      <w:rPr>
        <w:rFonts w:ascii="Symbol" w:hAnsi="Symbol" w:hint="default"/>
      </w:rPr>
    </w:lvl>
    <w:lvl w:ilvl="8" w:tplc="291EC86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C4F33E1"/>
    <w:multiLevelType w:val="hybridMultilevel"/>
    <w:tmpl w:val="133C3D3A"/>
    <w:lvl w:ilvl="0" w:tplc="99F870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823E2"/>
    <w:multiLevelType w:val="hybridMultilevel"/>
    <w:tmpl w:val="A93846A6"/>
    <w:lvl w:ilvl="0" w:tplc="99F870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00416"/>
    <w:multiLevelType w:val="hybridMultilevel"/>
    <w:tmpl w:val="C9C05C08"/>
    <w:lvl w:ilvl="0" w:tplc="99F870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73AB5"/>
    <w:multiLevelType w:val="hybridMultilevel"/>
    <w:tmpl w:val="C2060434"/>
    <w:lvl w:ilvl="0" w:tplc="B99C421C">
      <w:start w:val="1"/>
      <w:numFmt w:val="decimal"/>
      <w:lvlText w:val="%1)"/>
      <w:lvlJc w:val="left"/>
      <w:pPr>
        <w:ind w:left="720" w:hanging="360"/>
      </w:pPr>
      <w:rPr>
        <w:rFonts w:ascii="Times New Roman" w:eastAsia="SimSun" w:hAnsi="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62174A65"/>
    <w:multiLevelType w:val="hybridMultilevel"/>
    <w:tmpl w:val="D8A4B7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0"/>
  </w:num>
  <w:num w:numId="4">
    <w:abstractNumId w:val="3"/>
  </w:num>
  <w:num w:numId="5">
    <w:abstractNumId w:val="12"/>
  </w:num>
  <w:num w:numId="6">
    <w:abstractNumId w:val="17"/>
  </w:num>
  <w:num w:numId="7">
    <w:abstractNumId w:val="13"/>
  </w:num>
  <w:num w:numId="8">
    <w:abstractNumId w:val="11"/>
  </w:num>
  <w:num w:numId="9">
    <w:abstractNumId w:val="19"/>
  </w:num>
  <w:num w:numId="10">
    <w:abstractNumId w:val="6"/>
  </w:num>
  <w:num w:numId="11">
    <w:abstractNumId w:val="14"/>
  </w:num>
  <w:num w:numId="12">
    <w:abstractNumId w:val="1"/>
  </w:num>
  <w:num w:numId="13">
    <w:abstractNumId w:val="5"/>
  </w:num>
  <w:num w:numId="14">
    <w:abstractNumId w:val="4"/>
  </w:num>
  <w:num w:numId="15">
    <w:abstractNumId w:val="15"/>
  </w:num>
  <w:num w:numId="16">
    <w:abstractNumId w:val="18"/>
  </w:num>
  <w:num w:numId="17">
    <w:abstractNumId w:val="9"/>
  </w:num>
  <w:num w:numId="18">
    <w:abstractNumId w:val="8"/>
  </w:num>
  <w:num w:numId="19">
    <w:abstractNumId w:val="2"/>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24"/>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587"/>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8F7"/>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986"/>
    <w:rsid w:val="00454DCA"/>
    <w:rsid w:val="00454E26"/>
    <w:rsid w:val="00456544"/>
    <w:rsid w:val="00456649"/>
    <w:rsid w:val="004567B7"/>
    <w:rsid w:val="00456856"/>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271"/>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4F32"/>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29AE"/>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25F"/>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20F3"/>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DF5"/>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26E8"/>
    <w:rsid w:val="009134C3"/>
    <w:rsid w:val="00915B81"/>
    <w:rsid w:val="00915D6B"/>
    <w:rsid w:val="009160DF"/>
    <w:rsid w:val="00916251"/>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4F64"/>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4A05"/>
    <w:rsid w:val="00BF6252"/>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1F4"/>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63F3"/>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5A9"/>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4916516">
      <w:bodyDiv w:val="1"/>
      <w:marLeft w:val="0"/>
      <w:marRight w:val="0"/>
      <w:marTop w:val="0"/>
      <w:marBottom w:val="0"/>
      <w:divBdr>
        <w:top w:val="none" w:sz="0" w:space="0" w:color="auto"/>
        <w:left w:val="none" w:sz="0" w:space="0" w:color="auto"/>
        <w:bottom w:val="none" w:sz="0" w:space="0" w:color="auto"/>
        <w:right w:val="none" w:sz="0" w:space="0" w:color="auto"/>
      </w:divBdr>
      <w:divsChild>
        <w:div w:id="2020111103">
          <w:marLeft w:val="547"/>
          <w:marRight w:val="0"/>
          <w:marTop w:val="134"/>
          <w:marBottom w:val="0"/>
          <w:divBdr>
            <w:top w:val="none" w:sz="0" w:space="0" w:color="auto"/>
            <w:left w:val="none" w:sz="0" w:space="0" w:color="auto"/>
            <w:bottom w:val="none" w:sz="0" w:space="0" w:color="auto"/>
            <w:right w:val="none" w:sz="0" w:space="0" w:color="auto"/>
          </w:divBdr>
        </w:div>
        <w:div w:id="1500777225">
          <w:marLeft w:val="1166"/>
          <w:marRight w:val="0"/>
          <w:marTop w:val="115"/>
          <w:marBottom w:val="0"/>
          <w:divBdr>
            <w:top w:val="none" w:sz="0" w:space="0" w:color="auto"/>
            <w:left w:val="none" w:sz="0" w:space="0" w:color="auto"/>
            <w:bottom w:val="none" w:sz="0" w:space="0" w:color="auto"/>
            <w:right w:val="none" w:sz="0" w:space="0" w:color="auto"/>
          </w:divBdr>
        </w:div>
        <w:div w:id="609170112">
          <w:marLeft w:val="1166"/>
          <w:marRight w:val="0"/>
          <w:marTop w:val="115"/>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099273">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oleObject" Target="embeddings/oleObject15.bin"/><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oleObject" Target="embeddings/oleObject23.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image" Target="media/image18.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9.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5AIRPNAIUNRU-1830940522-2757</_dlc_DocId>
    <_dlc_DocIdUrl xmlns="71c5aaf6-e6ce-465b-b873-5148d2a4c105">
      <Url>https://nokia.sharepoint.com/sites/c5g/5gradio/_layouts/15/DocIdRedir.aspx?ID=5AIRPNAIUNRU-1830940522-2757</Url>
      <Description>5AIRPNAIUNRU-1830940522-2757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C07BBDA-41B2-4728-8B58-3F499D08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419</TotalTime>
  <Pages>3</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12</cp:revision>
  <cp:lastPrinted>2016-06-20T11:35:00Z</cp:lastPrinted>
  <dcterms:created xsi:type="dcterms:W3CDTF">2018-04-05T11:57:00Z</dcterms:created>
  <dcterms:modified xsi:type="dcterms:W3CDTF">2018-04-06T18:52:00Z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d1d88792-8b03-4a73-87cc-b28c5123fc69</vt:lpwstr>
  </property>
</Properties>
</file>